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90AD2" w14:textId="77777777" w:rsidR="00C87C80" w:rsidRDefault="00C87C80" w:rsidP="00C87C80">
      <w:pPr>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DESAFIOS E PERPECTIVAS DA TECNOLOGIA EDUCACIONAL</w:t>
      </w:r>
    </w:p>
    <w:p w14:paraId="4D10CB97" w14:textId="77777777" w:rsidR="00C87C80" w:rsidRDefault="00C87C80" w:rsidP="00C87C80">
      <w:pPr>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NO MEIO RURAL EM MOÇAMBIQUE</w:t>
      </w:r>
    </w:p>
    <w:p w14:paraId="185F4DA1" w14:textId="77777777" w:rsidR="00C87C80" w:rsidRDefault="00C87C80" w:rsidP="00C87C80">
      <w:pPr>
        <w:jc w:val="both"/>
        <w:rPr>
          <w:rFonts w:ascii="Times New Roman" w:eastAsia="SimSun" w:hAnsi="Times New Roman" w:cs="Times New Roman"/>
          <w:b/>
          <w:bCs/>
          <w:sz w:val="24"/>
          <w:szCs w:val="24"/>
        </w:rPr>
      </w:pPr>
    </w:p>
    <w:p w14:paraId="1B31DC67" w14:textId="77777777" w:rsidR="00C87C80" w:rsidRDefault="00C87C80" w:rsidP="00C87C80">
      <w:pPr>
        <w:jc w:val="both"/>
        <w:rPr>
          <w:rFonts w:ascii="Times New Roman" w:eastAsia="SimSun" w:hAnsi="Times New Roman" w:cs="Times New Roman"/>
          <w:b/>
          <w:bCs/>
          <w:sz w:val="24"/>
          <w:szCs w:val="24"/>
        </w:rPr>
      </w:pPr>
    </w:p>
    <w:p w14:paraId="62E116C2" w14:textId="77777777" w:rsidR="00C87C80" w:rsidRDefault="00C87C80" w:rsidP="00C87C80">
      <w:pPr>
        <w:jc w:val="both"/>
        <w:rPr>
          <w:rFonts w:ascii="Times New Roman" w:eastAsia="SimSun" w:hAnsi="Times New Roman" w:cs="Times New Roman"/>
          <w:b/>
          <w:bCs/>
          <w:sz w:val="24"/>
          <w:szCs w:val="24"/>
        </w:rPr>
      </w:pPr>
    </w:p>
    <w:p w14:paraId="70330B48" w14:textId="77777777" w:rsidR="00C87C80" w:rsidRDefault="00C87C80" w:rsidP="00C87C80">
      <w:pPr>
        <w:jc w:val="right"/>
        <w:rPr>
          <w:rFonts w:ascii="Times New Roman" w:eastAsia="SimSun" w:hAnsi="Times New Roman" w:cs="Times New Roman"/>
          <w:i/>
          <w:iCs/>
          <w:sz w:val="24"/>
          <w:szCs w:val="24"/>
        </w:rPr>
      </w:pPr>
      <w:r>
        <w:rPr>
          <w:rFonts w:ascii="Times New Roman" w:eastAsia="SimSun" w:hAnsi="Times New Roman" w:cs="Times New Roman"/>
          <w:i/>
          <w:iCs/>
          <w:sz w:val="24"/>
          <w:szCs w:val="24"/>
        </w:rPr>
        <w:t>Geraldo Dalena João Macunganha</w:t>
      </w:r>
      <w:r>
        <w:rPr>
          <w:rStyle w:val="Refdenotaderodap"/>
          <w:rFonts w:ascii="Times New Roman" w:eastAsia="SimSun" w:hAnsi="Times New Roman" w:cs="Times New Roman"/>
          <w:i/>
          <w:iCs/>
          <w:sz w:val="24"/>
          <w:szCs w:val="24"/>
        </w:rPr>
        <w:footnoteReference w:id="1"/>
      </w:r>
    </w:p>
    <w:p w14:paraId="7144BE31" w14:textId="77777777" w:rsidR="00C87C80" w:rsidRDefault="00C87C80" w:rsidP="00C87C80">
      <w:pPr>
        <w:jc w:val="right"/>
        <w:rPr>
          <w:rFonts w:ascii="Times New Roman" w:eastAsia="SimSun" w:hAnsi="Times New Roman" w:cs="Times New Roman"/>
          <w:i/>
          <w:iCs/>
          <w:sz w:val="24"/>
          <w:szCs w:val="24"/>
        </w:rPr>
      </w:pPr>
      <w:r>
        <w:rPr>
          <w:rFonts w:ascii="Times New Roman" w:eastAsia="SimSun" w:hAnsi="Times New Roman" w:cs="Times New Roman"/>
          <w:i/>
          <w:iCs/>
          <w:sz w:val="24"/>
          <w:szCs w:val="24"/>
        </w:rPr>
        <w:t>Benevelita Isabel Simão Mamite</w:t>
      </w:r>
      <w:r>
        <w:rPr>
          <w:rStyle w:val="Refdenotaderodap"/>
          <w:rFonts w:ascii="Times New Roman" w:eastAsia="SimSun" w:hAnsi="Times New Roman" w:cs="Times New Roman"/>
          <w:i/>
          <w:iCs/>
          <w:sz w:val="24"/>
          <w:szCs w:val="24"/>
        </w:rPr>
        <w:footnoteReference w:id="2"/>
      </w:r>
    </w:p>
    <w:p w14:paraId="75415383" w14:textId="77777777" w:rsidR="00C87C80" w:rsidRDefault="00C87C80" w:rsidP="00C87C80">
      <w:pPr>
        <w:jc w:val="both"/>
        <w:rPr>
          <w:rFonts w:ascii="Times New Roman" w:eastAsia="SimSun" w:hAnsi="Times New Roman" w:cs="Times New Roman"/>
          <w:b/>
          <w:bCs/>
        </w:rPr>
      </w:pPr>
    </w:p>
    <w:p w14:paraId="662DB037" w14:textId="77777777" w:rsidR="00C87C80" w:rsidRDefault="00C87C80" w:rsidP="00C87C80">
      <w:pPr>
        <w:jc w:val="both"/>
        <w:rPr>
          <w:rStyle w:val="Hyperlink"/>
          <w:rFonts w:ascii="Calibri" w:hAnsi="Calibri" w:cs="Calibri"/>
          <w:lang w:val="pt-PT"/>
        </w:rPr>
      </w:pPr>
    </w:p>
    <w:p w14:paraId="01CE0FEA" w14:textId="77777777" w:rsidR="00C87C80" w:rsidRDefault="00C87C80" w:rsidP="00C87C80">
      <w:pPr>
        <w:spacing w:line="360" w:lineRule="auto"/>
        <w:jc w:val="both"/>
        <w:rPr>
          <w:rFonts w:ascii="Times New Roman" w:eastAsia="SimSun" w:hAnsi="Times New Roman" w:cs="Times New Roman"/>
          <w:b/>
          <w:bCs/>
        </w:rPr>
      </w:pPr>
      <w:r>
        <w:rPr>
          <w:rFonts w:ascii="Times New Roman" w:eastAsia="SimSun" w:hAnsi="Times New Roman" w:cs="Times New Roman"/>
          <w:b/>
          <w:bCs/>
        </w:rPr>
        <w:t xml:space="preserve">Resumo </w:t>
      </w:r>
    </w:p>
    <w:p w14:paraId="594546FE" w14:textId="77777777" w:rsidR="00C87C80" w:rsidRDefault="00C87C80" w:rsidP="00C87C80">
      <w:pPr>
        <w:jc w:val="both"/>
      </w:pPr>
      <w:r>
        <w:rPr>
          <w:rFonts w:ascii="Times New Roman" w:eastAsia="SimSun" w:hAnsi="Times New Roman" w:cs="Times New Roman"/>
        </w:rPr>
        <w:t xml:space="preserve">Este texto tem como objetivo examinar os desafios e perspectivas da tecnologia educacional no meio rural em Moçambique, destacando seu potencial para fomentar a inclusão social e a modernização do ensino. Embora, persistem entraves estruturais significativos, como precariedade de infraestruturas básicas, eletricidade, internet e recursos digitais em áreas rurais. Tais fatores dificultam o progresso tecnológicos escolar e a implementação de políticas públicas sólidas que assegurem conectividade a custos acessíveis e capacitação de professores em larga escala. Portanto, a tecnologia não é imparcial e é influenciada por dinâmicas do novo capitalismo. O estudo emprega uma abordagem qualitativa e descritiva, fundamentada em revisão bibliográfica e entrevista com professores, para entender como a digitalização impacta o sistema educacional do país. Evidente que a inovação só será eficaz se assegurar o acesso universal e respeitar os saberes tradicional locais. </w:t>
      </w:r>
      <w:r>
        <w:rPr>
          <w:rFonts w:ascii="Times New Roman" w:hAnsi="Times New Roman" w:cs="Times New Roman"/>
        </w:rPr>
        <w:t>Conclui-se que a incorporação da tecnologia na sociedade atual é fundamental para revitalizar o sistema educacional</w:t>
      </w:r>
      <w:r>
        <w:rPr>
          <w:rFonts w:ascii="Times New Roman" w:eastAsia="SimSun" w:hAnsi="Times New Roman" w:cs="Times New Roman"/>
        </w:rPr>
        <w:t>, promovendo a inclusão digital e o aprimoramento de competências essenciais para o século XXI.</w:t>
      </w:r>
    </w:p>
    <w:p w14:paraId="51C166F3" w14:textId="77777777" w:rsidR="00C87C80" w:rsidRDefault="00C87C80" w:rsidP="00C87C80">
      <w:pPr>
        <w:jc w:val="both"/>
        <w:rPr>
          <w:rFonts w:ascii="Times New Roman" w:eastAsia="SimSun" w:hAnsi="Times New Roman" w:cs="Times New Roman"/>
        </w:rPr>
      </w:pPr>
      <w:r>
        <w:rPr>
          <w:rFonts w:ascii="Times New Roman" w:eastAsia="SimSun" w:hAnsi="Times New Roman" w:cs="Times New Roman"/>
          <w:b/>
          <w:bCs/>
        </w:rPr>
        <w:t>Palavras-chaves</w:t>
      </w:r>
      <w:r>
        <w:rPr>
          <w:rFonts w:ascii="Times New Roman" w:eastAsia="SimSun" w:hAnsi="Times New Roman" w:cs="Times New Roman"/>
        </w:rPr>
        <w:t>: Educação rural; Inclusão digital; Tecnologia educacional.</w:t>
      </w:r>
    </w:p>
    <w:p w14:paraId="03975F9C" w14:textId="77777777" w:rsidR="00C87C80" w:rsidRDefault="00C87C80" w:rsidP="00C87C80">
      <w:pPr>
        <w:jc w:val="both"/>
      </w:pPr>
    </w:p>
    <w:p w14:paraId="613B834A" w14:textId="77777777" w:rsidR="00C87C80" w:rsidRDefault="00C87C80" w:rsidP="00C87C80">
      <w:pPr>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CHALLENGES AND PERSPECTIVES OF EDUCATIONAL TECHNOLOGY</w:t>
      </w:r>
    </w:p>
    <w:p w14:paraId="4328A0BF" w14:textId="77777777" w:rsidR="00C87C80" w:rsidRDefault="00C87C80" w:rsidP="00C87C80">
      <w:pPr>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IN RURAL MOZAMBIQUE</w:t>
      </w:r>
    </w:p>
    <w:p w14:paraId="08ABAAB0" w14:textId="77777777" w:rsidR="00C87C80" w:rsidRDefault="00C87C80" w:rsidP="00C87C80">
      <w:pPr>
        <w:jc w:val="both"/>
      </w:pPr>
    </w:p>
    <w:p w14:paraId="3CBFD99C" w14:textId="77777777" w:rsidR="00C87C80" w:rsidRDefault="00C87C80" w:rsidP="00C87C80">
      <w:pPr>
        <w:jc w:val="both"/>
        <w:rPr>
          <w:rFonts w:ascii="Times New Roman" w:eastAsia="SimSun" w:hAnsi="Times New Roman" w:cs="Times New Roman"/>
          <w:b/>
          <w:bCs/>
        </w:rPr>
      </w:pPr>
      <w:r>
        <w:rPr>
          <w:rFonts w:ascii="Times New Roman" w:eastAsia="SimSun" w:hAnsi="Times New Roman" w:cs="Times New Roman"/>
          <w:b/>
          <w:bCs/>
        </w:rPr>
        <w:t>Abstract</w:t>
      </w:r>
    </w:p>
    <w:p w14:paraId="270C0DF0" w14:textId="77777777" w:rsidR="00C87C80" w:rsidRDefault="00C87C80" w:rsidP="00C87C80">
      <w:pPr>
        <w:jc w:val="both"/>
        <w:rPr>
          <w:rFonts w:ascii="Times New Roman" w:eastAsia="SimSun" w:hAnsi="Times New Roman"/>
          <w:lang w:val="en"/>
        </w:rPr>
      </w:pPr>
      <w:r>
        <w:rPr>
          <w:rFonts w:ascii="Times New Roman" w:eastAsia="SimSun" w:hAnsi="Times New Roman" w:cs="Times New Roman"/>
          <w:b/>
          <w:bCs/>
        </w:rPr>
        <w:t xml:space="preserve"> </w:t>
      </w:r>
      <w:r>
        <w:rPr>
          <w:rFonts w:ascii="Times New Roman" w:eastAsia="SimSun" w:hAnsi="Times New Roman"/>
          <w:lang w:val="en"/>
        </w:rPr>
        <w:t>This text aims to examine the challenges and perspectives of educational technology in rural areas in Mozambique, highlighting its potential to foster social inclusion and the modernization of education. However, significant structural barriers persist, such as precarious basic infrastructure, electricity, internet and digital resources in rural areas. Such factors hinder school technological progress and the implementation of sound public policies that ensure affordable connectivity and large-scale teacher training. Therefore, technology is not impartial and is influenced by dynamics of the new capitalism. The study employs a qualitative and descriptive approach, based on a literature review and interviews with teachers, to understand how digitalization impacts the country's educational system. Of course, innovation will only be effective if it ensures universal access and respects traditional local knowledge. It is concluded that the incorporation of technology in today's society is fundamental to revitalize the educational system, promoting digital inclusion and the improvement of essential skills for the twenty-first century</w:t>
      </w:r>
      <w:r>
        <w:rPr>
          <w:rFonts w:ascii="Times New Roman" w:eastAsia="SimSun" w:hAnsi="Times New Roman"/>
        </w:rPr>
        <w:t>.</w:t>
      </w:r>
    </w:p>
    <w:p w14:paraId="147F88FB" w14:textId="77777777" w:rsidR="00C87C80" w:rsidRDefault="00C87C80" w:rsidP="00C87C80">
      <w:pPr>
        <w:jc w:val="both"/>
        <w:rPr>
          <w:rFonts w:ascii="Times New Roman" w:eastAsia="SimSun" w:hAnsi="Times New Roman" w:cs="Times New Roman"/>
        </w:rPr>
      </w:pPr>
      <w:r>
        <w:rPr>
          <w:rFonts w:ascii="Times New Roman" w:eastAsia="SimSun" w:hAnsi="Times New Roman" w:cs="Times New Roman"/>
          <w:b/>
          <w:bCs/>
        </w:rPr>
        <w:t>Keywords</w:t>
      </w:r>
      <w:r>
        <w:rPr>
          <w:rFonts w:ascii="Times New Roman" w:eastAsia="SimSun" w:hAnsi="Times New Roman" w:cs="Times New Roman"/>
        </w:rPr>
        <w:t>: Rural education; Digital inclusion; Educational technology.</w:t>
      </w:r>
    </w:p>
    <w:p w14:paraId="7BB6C206" w14:textId="77777777" w:rsidR="00C87C80" w:rsidRDefault="00C87C80" w:rsidP="00C87C80">
      <w:pPr>
        <w:jc w:val="both"/>
        <w:rPr>
          <w:rFonts w:ascii="Times New Roman" w:eastAsia="SimSun" w:hAnsi="Times New Roman" w:cs="Times New Roman"/>
        </w:rPr>
      </w:pPr>
    </w:p>
    <w:p w14:paraId="2D3E4CE7" w14:textId="77777777" w:rsidR="00C87C80" w:rsidRDefault="00C87C80" w:rsidP="00C87C80">
      <w:pPr>
        <w:jc w:val="both"/>
        <w:rPr>
          <w:rFonts w:ascii="Times New Roman" w:eastAsia="SimSun" w:hAnsi="Times New Roman" w:cs="Times New Roman"/>
        </w:rPr>
      </w:pPr>
    </w:p>
    <w:p w14:paraId="4A1902F9" w14:textId="77777777" w:rsidR="00C87C80" w:rsidRDefault="00C87C80" w:rsidP="00C87C80">
      <w:pPr>
        <w:jc w:val="both"/>
        <w:rPr>
          <w:rFonts w:ascii="Times New Roman" w:eastAsia="SimSun" w:hAnsi="Times New Roman" w:cs="Times New Roman"/>
          <w:b/>
          <w:sz w:val="24"/>
          <w:szCs w:val="24"/>
        </w:rPr>
      </w:pPr>
      <w:r>
        <w:rPr>
          <w:rFonts w:ascii="Times New Roman" w:eastAsia="SimSun" w:hAnsi="Times New Roman" w:cs="Times New Roman"/>
          <w:b/>
          <w:sz w:val="24"/>
          <w:szCs w:val="24"/>
        </w:rPr>
        <w:t xml:space="preserve">1. </w:t>
      </w:r>
      <w:r>
        <w:rPr>
          <w:rFonts w:ascii="Times New Roman" w:hAnsi="Times New Roman" w:cs="Times New Roman"/>
          <w:b/>
          <w:bCs/>
          <w:sz w:val="24"/>
          <w:szCs w:val="24"/>
        </w:rPr>
        <w:t>INTRODUÇÃO</w:t>
      </w:r>
    </w:p>
    <w:p w14:paraId="3C93E81E" w14:textId="77777777" w:rsidR="00C87C80" w:rsidRDefault="00C87C80" w:rsidP="00C87C80">
      <w:pPr>
        <w:rPr>
          <w:rFonts w:ascii="Times New Roman" w:hAnsi="Times New Roman" w:cs="Times New Roman"/>
          <w:b/>
          <w:bCs/>
        </w:rPr>
      </w:pPr>
    </w:p>
    <w:p w14:paraId="113CA2B0"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sz w:val="24"/>
          <w:szCs w:val="24"/>
        </w:rPr>
        <w:t>A educação constitui um dos pilares fundamentais para o desenvolvimento social</w:t>
      </w:r>
      <w:r>
        <w:rPr>
          <w:rFonts w:ascii="Times New Roman" w:eastAsia="SimSun" w:hAnsi="Times New Roman" w:cs="Times New Roman"/>
          <w:sz w:val="24"/>
          <w:szCs w:val="24"/>
        </w:rPr>
        <w:t xml:space="preserve"> e a</w:t>
      </w:r>
      <w:r>
        <w:rPr>
          <w:rFonts w:ascii="Times New Roman" w:eastAsia="SimSun" w:hAnsi="Times New Roman" w:cs="Times New Roman"/>
          <w:sz w:val="24"/>
          <w:szCs w:val="24"/>
          <w:lang w:val="pt-PT"/>
        </w:rPr>
        <w:t xml:space="preserve"> tecnologica configura-se como um vetor estratégico para a inclusão educacional. A falta de recursos digitais e de tecnologias assistivas, </w:t>
      </w:r>
      <w:r>
        <w:rPr>
          <w:rFonts w:ascii="Times New Roman" w:eastAsia="SimSun" w:hAnsi="Times New Roman" w:cs="Times New Roman"/>
          <w:sz w:val="24"/>
          <w:szCs w:val="24"/>
        </w:rPr>
        <w:t>especialmente em áreas rurais, agrava a desigualdade no acesso ao conhecimento moderno. A efetividade das ferramentas tecnológicas na melhoria de qualidade de ensino depende da consolidação de infraestruturas, da formulação de políticas públicas integradas e do comprometimento real do corpo docente, condições essenciais para uma educação democrática e universal (Freire,1978).</w:t>
      </w:r>
    </w:p>
    <w:p w14:paraId="5E3A00F8"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lang w:val="pt-PT"/>
        </w:rPr>
        <w:lastRenderedPageBreak/>
        <w:t>É importante destacar que “a modernidade trouxe consigo um novo paradigma educacional, centrado em  princípios de racionalidade, eficiência e  competitividade” (</w:t>
      </w:r>
      <w:r>
        <w:rPr>
          <w:rFonts w:ascii="Times New Roman" w:eastAsia="CIDFont" w:hAnsi="Times New Roman" w:cs="Times New Roman"/>
          <w:color w:val="000000"/>
          <w:sz w:val="24"/>
          <w:szCs w:val="24"/>
        </w:rPr>
        <w:t>Munguambe</w:t>
      </w:r>
      <w:r>
        <w:rPr>
          <w:rFonts w:ascii="Times New Roman" w:eastAsia="CIDFont" w:hAnsi="Times New Roman" w:cs="Times New Roman"/>
          <w:color w:val="000000"/>
          <w:sz w:val="24"/>
          <w:szCs w:val="24"/>
          <w:lang w:val="pt-PT"/>
        </w:rPr>
        <w:t>, 2025. p. 8).</w:t>
      </w:r>
      <w:r>
        <w:rPr>
          <w:rFonts w:ascii="Times New Roman" w:eastAsia="SimSun" w:hAnsi="Times New Roman" w:cs="Times New Roman"/>
          <w:sz w:val="24"/>
          <w:szCs w:val="24"/>
          <w:lang w:val="pt-PT"/>
        </w:rPr>
        <w:t xml:space="preserve"> </w:t>
      </w:r>
      <w:r>
        <w:rPr>
          <w:rFonts w:ascii="Times New Roman" w:eastAsia="SimSun" w:hAnsi="Times New Roman" w:cs="Times New Roman"/>
          <w:sz w:val="24"/>
          <w:szCs w:val="24"/>
        </w:rPr>
        <w:t>As políticas públicas de educação se adaptem à era digital, incentivando a capacitação de educadores e discentes no uso critico das tecnologias para a construção de uma sociedade socialista, em que o corpo docente deve desempenhar o papel de um agente critico, apoiado em firmes alicerces políticos, ideológicos, científicos e pedagógicas. Desconstruir as ideologias subjacentes às ferramentas digitais torna-se crucial para entender plenamente o papel da tecnologia no processo educativo (Selwyn, 2014).</w:t>
      </w:r>
    </w:p>
    <w:p w14:paraId="72440B6C"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As políticas de Ciências e Tecnologia devem fomentar a transferência tecnológica e a inovação voltadas às soluções acessíveis e de excelência, beneficiando tanto o sistema educacional quanto as comunidades, de modo a garantir a democratização de ensino. O texto visa examinar os desafios e perspectivas da tecnologia educacional no meio rural em Moçambique. Contudo, a tecnologia se baseia no conhecimento cientifico e funciona como um agente de transformação social que, ao buscar eficiência e progresso, consegue provocar mudanças estruturais significativas na sociedade (Peixoto,2012).</w:t>
      </w:r>
    </w:p>
    <w:p w14:paraId="37772C90"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A tecnologia digital não goza de neutralidade, pelo contrário, a sua criação e uso são intrinsecamente moldados por ideologias predominantes, como o neoliberalismo e o novo capitalismo. Esse processo evidencia a força dos valores e das crenças que sustentam a estrutura social atual (Selwyn, 2014). No entanto, “o computador é visto como um recurso educacional que enriquece o processo de ensino e aprendizado, onde o estudante desenvolve seu conhecimento e o educador atua como um facilitador entre o aluno, o computador e o conteúdo" (Peixoto, 2012, p. 257). A inovação pedagógica apoiada por tecnologias digitais é fundamental para a personalização do ensino. No entanto, as disparidades estruturas, processos de descentralização ineficientes e a falta de recursos em instituições públicas, especialmente em zonas rurais, comprometem esse progresso.</w:t>
      </w:r>
    </w:p>
    <w:p w14:paraId="71F573BD" w14:textId="77777777" w:rsidR="00C87C80" w:rsidRDefault="00C87C80" w:rsidP="00C87C80">
      <w:pPr>
        <w:spacing w:line="360" w:lineRule="auto"/>
        <w:ind w:firstLine="799"/>
        <w:jc w:val="both"/>
        <w:rPr>
          <w:rFonts w:ascii="Times New Roman" w:eastAsia="SimSun" w:hAnsi="Times New Roman" w:cs="Times New Roman"/>
          <w:sz w:val="24"/>
          <w:szCs w:val="24"/>
          <w:lang w:val="pt-PT"/>
        </w:rPr>
      </w:pPr>
      <w:r>
        <w:rPr>
          <w:rFonts w:ascii="Times New Roman" w:eastAsia="SimSun" w:hAnsi="Times New Roman"/>
          <w:sz w:val="24"/>
          <w:szCs w:val="24"/>
        </w:rPr>
        <w:t xml:space="preserve">Este estudo adota uma abordagem qualitativa e descritiva com o propósito de compreender a integração tecnológica no sistema educacional de Moçambique, com ênfase nos aspectos sociais e éticos </w:t>
      </w:r>
      <w:r>
        <w:rPr>
          <w:rFonts w:ascii="Times New Roman" w:eastAsia="SimSun" w:hAnsi="Times New Roman" w:cs="Times New Roman"/>
          <w:sz w:val="24"/>
          <w:szCs w:val="24"/>
        </w:rPr>
        <w:t>(Gil,2002)</w:t>
      </w:r>
      <w:r>
        <w:rPr>
          <w:rFonts w:ascii="Times New Roman" w:eastAsia="SimSun" w:hAnsi="Times New Roman"/>
          <w:sz w:val="24"/>
          <w:szCs w:val="24"/>
        </w:rPr>
        <w:t>. O trajeto metodológico foi estruturado em duas estratégias: bibliografia e documental, nas quais se realizou uma coleta sistemática em bases de dados acadêmicas (google acadêmico). Na fase Inicial, 34 documentos foram selecionados. Após a aplicação de critérios de inclusão e exclusão fundamentados na relevância temática, 13 foram eliminados e 21 documentos (artigos científicos e livros) que atenderam aos critérios estabelecidos. Esta fase foi embasada em autores como</w:t>
      </w:r>
      <w:r>
        <w:rPr>
          <w:rFonts w:ascii="Times New Roman" w:eastAsia="SimSun" w:hAnsi="Times New Roman" w:cs="Times New Roman"/>
          <w:sz w:val="24"/>
          <w:szCs w:val="24"/>
        </w:rPr>
        <w:t xml:space="preserve"> Gebran (2009), Jesus (2020), Moran (2011). </w:t>
      </w:r>
    </w:p>
    <w:p w14:paraId="70661B49"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Para alcançar o objetivo estabelecido, realizamos entrevistas narrativas com dois docentes do Instituto de Formação dos Professores do Futuro – ADPP-N`saúca - Niassa, por via de questionário no google form a fim de entender como as tecnologias estão sendo utilizadas na instituição de ensino. Esse </w:t>
      </w:r>
      <w:r>
        <w:rPr>
          <w:rFonts w:ascii="Times New Roman" w:eastAsia="SimSun" w:hAnsi="Times New Roman" w:cs="Times New Roman"/>
          <w:sz w:val="24"/>
          <w:szCs w:val="24"/>
        </w:rPr>
        <w:lastRenderedPageBreak/>
        <w:t xml:space="preserve">instrumento possibilitou a coleta das experiências subjetivas e das perspectivas críticas dos profissionais engajados na inovação educacional cotidiana em Moçambique. A técnica utilizada para o tratamento dos dados, que foi a análise de conteúdos, organizada em três fases: pró-análise, exploração do material e tratamento dos resultados com inferência e interpretação. Todo o processo foi conduzido de acordo com princípios éticos, garantindo a integridade das fontes e o respeito aos direitos autorias, em alinhamento com a integridade acadêmica. </w:t>
      </w:r>
    </w:p>
    <w:p w14:paraId="1831A2A7" w14:textId="77777777" w:rsidR="00C87C80" w:rsidRDefault="00C87C80" w:rsidP="00C87C80">
      <w:pPr>
        <w:spacing w:line="360" w:lineRule="auto"/>
        <w:ind w:firstLine="709"/>
        <w:jc w:val="both"/>
        <w:rPr>
          <w:rFonts w:ascii="Times New Roman" w:eastAsia="SimSun" w:hAnsi="Times New Roman" w:cs="Times New Roman"/>
          <w:sz w:val="24"/>
          <w:szCs w:val="24"/>
        </w:rPr>
      </w:pPr>
    </w:p>
    <w:p w14:paraId="4339A022" w14:textId="77777777" w:rsidR="00C87C80" w:rsidRDefault="00C87C80" w:rsidP="00C87C80">
      <w:pPr>
        <w:spacing w:line="36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2. DESVENDANDO O MUNDO ATRAVÉS DA EDUCAÇÃO</w:t>
      </w:r>
    </w:p>
    <w:p w14:paraId="14C10C6D"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 educação é a alicerce para o progresso de uma nação, enquanto a tecnologia é um instrumento estratégico de modernização e estimula à criatividade. A difusão da internet e de dispositivos móveis potencializa ferramentas digitais que ampliam o acesso ao conhecimento, fortalecem a comunicação na comunidade educacional e ratificam a educação como um direito humano fundamental para o exercício pleno da cidadania (Mascarenhas </w:t>
      </w:r>
      <w:r>
        <w:rPr>
          <w:rFonts w:ascii="Times New Roman" w:eastAsia="SimSun" w:hAnsi="Times New Roman" w:cs="Times New Roman"/>
          <w:i/>
          <w:iCs/>
          <w:sz w:val="24"/>
          <w:szCs w:val="24"/>
        </w:rPr>
        <w:t>et al</w:t>
      </w:r>
      <w:r>
        <w:rPr>
          <w:rFonts w:ascii="Times New Roman" w:eastAsia="SimSun" w:hAnsi="Times New Roman" w:cs="Times New Roman"/>
          <w:sz w:val="24"/>
          <w:szCs w:val="24"/>
        </w:rPr>
        <w:t xml:space="preserve">., 2013). </w:t>
      </w:r>
    </w:p>
    <w:p w14:paraId="4D065D6E"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Este processo vai além da sala de aula, abrangendo as interações sociais e a difusão cultural. Dessa forma, a educação tem um papel vital na preservação e no desenvolvimento de saberes coletivos. No entanto, a “educação estruturada e formalizada pode, paradoxalmente, sufocar a criatividade e a liberdade de aprender. Essa rigidez pode ser usada para direcionar indivíduos e populações com os objetivos pré-determinados, restringindo sua autonomia e potencial de desenvolvimento” (Carvalho,2024, p.159).</w:t>
      </w:r>
    </w:p>
    <w:p w14:paraId="083B28C5"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Segundo a perspectiva durkheimiana, a educação funciona como um vínculo entre gerações, transmitindo valores e conhecimentos essenciais para a integração dos jovens na sociedade. Essa teoria enfatiza que o sistema educacional deve adotar valores que espelhem as ideias coletivas, garantindo a coesão social e o desenvolvimento do sujeito. A responsabilidade do sistema educacional é escolher valores que representem os ideais da sociedade (Santos, 2013).</w:t>
      </w:r>
    </w:p>
    <w:p w14:paraId="6097BEF1"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Por outro lado, Freire (1978, p. 34) alerta que “a escola, não importa o seu nível, se transforma em mercado de saber; o professor, num especialista sofisticado, que vende e distribui um conhecimento empacotado; o aluno, no cliente que compra e come este conhecimento”. A educação deve ser entendida como um processo ativo de construção de conhecimentos, caracterizando-se como uma expressão orgânica em vez de um sistema puramente impositivo. Além disso, Freire defende que a educação faz parte da superestrutura social, sendo afetada pela infraestrutura econômica. A conexão entre ambas é dialética, com influencias reciprocas que ajudam na mudança social e processo educativo deve atuar como uma ferramenta de conscientização contra as desigualdades, capacitando os indivíduos para a construção de uma sociedade mais justa (Tavares, 2015). </w:t>
      </w:r>
    </w:p>
    <w:p w14:paraId="3885184A"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Na concepção de Durkheim, Weber e Marx, a educação capacita o indivíduo para viver em sociedade ao transmitir habilidades fundamentais para sua integração e participação ativa. Weber aponta que a educação, surgida a partir do capitalismo e do Estado burocrático, que sua função axiológica e se transforma em uma ferramenta de instrumentalização para o trabalho, o que contribui para a perpetuação das desigualdades sociais (Mascarenhas </w:t>
      </w:r>
      <w:r>
        <w:rPr>
          <w:rFonts w:ascii="Times New Roman" w:eastAsia="SimSun" w:hAnsi="Times New Roman" w:cs="Times New Roman"/>
          <w:i/>
          <w:iCs/>
          <w:sz w:val="24"/>
          <w:szCs w:val="24"/>
        </w:rPr>
        <w:t>et al</w:t>
      </w:r>
      <w:r>
        <w:rPr>
          <w:rFonts w:ascii="Times New Roman" w:eastAsia="SimSun" w:hAnsi="Times New Roman" w:cs="Times New Roman"/>
          <w:sz w:val="24"/>
          <w:szCs w:val="24"/>
        </w:rPr>
        <w:t>., 2013).</w:t>
      </w:r>
      <w:bookmarkStart w:id="1" w:name="OLE_LINK1"/>
      <w:r>
        <w:rPr>
          <w:rFonts w:ascii="Times New Roman" w:eastAsia="SimSun" w:hAnsi="Times New Roman" w:cs="Times New Roman"/>
          <w:sz w:val="24"/>
          <w:szCs w:val="24"/>
        </w:rPr>
        <w:t xml:space="preserve"> A revolução tecnológica transformou o dia a dia e as formas de aprendizado, estabelecendo as Tecnologia da Informação e Comunicação (TIC) como componentes fundamentais (Cabral </w:t>
      </w:r>
      <w:r>
        <w:rPr>
          <w:rFonts w:ascii="Times New Roman" w:eastAsia="SimSun" w:hAnsi="Times New Roman" w:cs="Times New Roman"/>
          <w:i/>
          <w:iCs/>
          <w:sz w:val="24"/>
          <w:szCs w:val="24"/>
        </w:rPr>
        <w:t>et al</w:t>
      </w:r>
      <w:r>
        <w:rPr>
          <w:rFonts w:ascii="Times New Roman" w:eastAsia="SimSun" w:hAnsi="Times New Roman" w:cs="Times New Roman"/>
          <w:sz w:val="24"/>
          <w:szCs w:val="24"/>
        </w:rPr>
        <w:t>., 2025).</w:t>
      </w:r>
    </w:p>
    <w:p w14:paraId="6501A892" w14:textId="77777777" w:rsidR="00C87C80" w:rsidRDefault="00C87C80" w:rsidP="00C87C80">
      <w:pPr>
        <w:spacing w:line="360" w:lineRule="auto"/>
        <w:ind w:firstLine="709"/>
        <w:jc w:val="both"/>
        <w:rPr>
          <w:rFonts w:ascii="Times New Roman" w:eastAsia="SimSun" w:hAnsi="Times New Roman" w:cs="Times New Roman"/>
          <w:color w:val="FF0000"/>
          <w:sz w:val="24"/>
          <w:szCs w:val="24"/>
        </w:rPr>
      </w:pPr>
      <w:r>
        <w:rPr>
          <w:rFonts w:ascii="Times New Roman" w:eastAsia="SimSun" w:hAnsi="Times New Roman" w:cs="Times New Roman"/>
          <w:sz w:val="24"/>
          <w:szCs w:val="24"/>
        </w:rPr>
        <w:t xml:space="preserve"> Em Moçambique, a falta de políticas sólidas para a era digital leva em lacunas na integração tecnológica. As salas de aula são impactadas por dispositivos e softwares que buscam personalizar a educação, promovendo experiencias pedagógicas mais eficientes (Pelages </w:t>
      </w:r>
      <w:r>
        <w:rPr>
          <w:rFonts w:ascii="Times New Roman" w:eastAsia="SimSun" w:hAnsi="Times New Roman" w:cs="Times New Roman"/>
          <w:i/>
          <w:iCs/>
          <w:sz w:val="24"/>
          <w:szCs w:val="24"/>
        </w:rPr>
        <w:t>et al</w:t>
      </w:r>
      <w:r>
        <w:rPr>
          <w:rFonts w:ascii="Times New Roman" w:eastAsia="SimSun" w:hAnsi="Times New Roman" w:cs="Times New Roman"/>
          <w:sz w:val="24"/>
          <w:szCs w:val="24"/>
        </w:rPr>
        <w:t>.,2023</w:t>
      </w:r>
      <w:bookmarkEnd w:id="1"/>
      <w:r>
        <w:rPr>
          <w:rFonts w:ascii="Times New Roman" w:eastAsia="SimSun" w:hAnsi="Times New Roman" w:cs="Times New Roman"/>
          <w:sz w:val="24"/>
          <w:szCs w:val="24"/>
        </w:rPr>
        <w:t>). Segundo Pessuro (2022, p. 5), ponta que “a carência de professores e a má gestão do sistema educacional criam uma disparidade entre o direito à educação e a realidade, evidenciando que essa promessa não se traduz em oportunidades iguais para todos”. Em suma, fica claro que a tecnologia só atinge eficiência quando utilizada de maneira estratégica e integrada a uma metodologia de ensino que promova a autonomia dos estudantes</w:t>
      </w:r>
      <w:r>
        <w:rPr>
          <w:rFonts w:ascii="Times New Roman" w:eastAsia="SimSun" w:hAnsi="Times New Roman" w:cs="Times New Roman"/>
          <w:color w:val="FF0000"/>
          <w:sz w:val="24"/>
          <w:szCs w:val="24"/>
        </w:rPr>
        <w:t>.</w:t>
      </w:r>
    </w:p>
    <w:p w14:paraId="0BACD324" w14:textId="77777777" w:rsidR="00C87C80" w:rsidRDefault="00C87C80" w:rsidP="00C87C80">
      <w:pPr>
        <w:spacing w:line="360" w:lineRule="auto"/>
        <w:ind w:firstLine="709"/>
        <w:jc w:val="both"/>
        <w:rPr>
          <w:rFonts w:ascii="Times New Roman" w:eastAsia="SimSun" w:hAnsi="Times New Roman" w:cs="Times New Roman"/>
          <w:sz w:val="24"/>
          <w:szCs w:val="24"/>
        </w:rPr>
      </w:pPr>
    </w:p>
    <w:p w14:paraId="002CC75A" w14:textId="77777777" w:rsidR="00C87C80" w:rsidRDefault="00C87C80" w:rsidP="00C87C80">
      <w:pPr>
        <w:spacing w:line="360" w:lineRule="auto"/>
        <w:jc w:val="both"/>
        <w:rPr>
          <w:rFonts w:ascii="Times New Roman" w:eastAsia="SimSun" w:hAnsi="Times New Roman" w:cs="Times New Roman"/>
          <w:sz w:val="24"/>
          <w:szCs w:val="24"/>
        </w:rPr>
      </w:pPr>
      <w:r>
        <w:rPr>
          <w:rFonts w:ascii="Times New Roman" w:eastAsia="SimSun" w:hAnsi="Times New Roman" w:cs="Times New Roman"/>
          <w:b/>
          <w:sz w:val="24"/>
          <w:szCs w:val="24"/>
        </w:rPr>
        <w:t xml:space="preserve">2.1. </w:t>
      </w:r>
      <w:r>
        <w:rPr>
          <w:rFonts w:ascii="Times New Roman" w:eastAsia="SimSun" w:hAnsi="Times New Roman" w:cs="Times New Roman"/>
          <w:b/>
          <w:bCs/>
          <w:sz w:val="24"/>
          <w:szCs w:val="24"/>
        </w:rPr>
        <w:t>A DIGITALIZAÇÃO EM MOÇAMBIQUE</w:t>
      </w:r>
      <w:r>
        <w:rPr>
          <w:rFonts w:ascii="Times New Roman" w:eastAsia="SimSun" w:hAnsi="Times New Roman" w:cs="Times New Roman"/>
          <w:sz w:val="24"/>
          <w:szCs w:val="24"/>
        </w:rPr>
        <w:t xml:space="preserve"> </w:t>
      </w:r>
    </w:p>
    <w:p w14:paraId="50E86ECF"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O processo de digitalização em Moçambique teve início em 1993, com a implementação da internet na Universidade Eduardo Mondlane-UEM. A consolidação das políticas de Ciência, Tecnologia e Inovação ocorreu em 2000, com a criação do Ministério da Ciência, Tecnologia e Ensino Superior, seguida pela reforma do marco legal do Ensino Superior em 2003. O progresso tecnológico do país ainda se depara com barreiras transversais, motivadas pela limitação de recursos financeiros e infraestruturas, que impactam o crescimento para além do âmbito acadêmico (Pessuro, 2022). </w:t>
      </w:r>
    </w:p>
    <w:p w14:paraId="7FEFCDFE"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As Políticas de Ciência e Tecnologia (PCT) exigem a adoção de estratégias eficazes de inovação que impulsiona o progresso da região, por meio de soluções acessíveis e de alta qualidade, beneficiando tanto o setor produtivo quanto as comunidades. Assim, compreende-se que “os recursos tecnológicos podem transformar a formação de professores qualificados, que vai possibilitar e desenvolver as habilidades essenciais para o uso eficaz das ferramentas digitais em suas práticas docentes” (Narciso </w:t>
      </w:r>
      <w:r>
        <w:rPr>
          <w:rFonts w:ascii="Times New Roman" w:eastAsia="SimSun" w:hAnsi="Times New Roman" w:cs="Times New Roman"/>
          <w:i/>
          <w:iCs/>
          <w:sz w:val="24"/>
          <w:szCs w:val="24"/>
        </w:rPr>
        <w:t>et al</w:t>
      </w:r>
      <w:r>
        <w:rPr>
          <w:rFonts w:ascii="Times New Roman" w:eastAsia="SimSun" w:hAnsi="Times New Roman" w:cs="Times New Roman"/>
          <w:sz w:val="24"/>
          <w:szCs w:val="24"/>
        </w:rPr>
        <w:t xml:space="preserve">., 2024, p. 15). </w:t>
      </w:r>
    </w:p>
    <w:p w14:paraId="2DBE8CD9"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 criação do Ministério da Ciência e Tecnologia tem como objetivo estabelecer políticas setoriais e desenvolver mecanismos para promover o progresso científico e tecnológico na educação. Essa iniciativa reafirma o compromisso de integrar as TICs para modernizar e melhorar o ensino (Moran, 2011). Segundo Lagarto (2018, p. 24) afirma que a “tecnologia é favorável a esta forma de inovação que muitos países se posicionam em patamares tecnológicos de ponta sem passar pelos anteriores”. A incorporação da tecnologia na formação de professores requer a superação de obstáculos, os professores podem otimizar a utilização de recursos </w:t>
      </w:r>
      <w:r>
        <w:rPr>
          <w:rFonts w:ascii="Times New Roman" w:hAnsi="Times New Roman" w:cs="Times New Roman"/>
          <w:sz w:val="24"/>
          <w:szCs w:val="24"/>
        </w:rPr>
        <w:t xml:space="preserve">digitais </w:t>
      </w:r>
      <w:r>
        <w:rPr>
          <w:rFonts w:ascii="Times New Roman" w:eastAsia="SimSun" w:hAnsi="Times New Roman" w:cs="Times New Roman"/>
          <w:sz w:val="24"/>
          <w:szCs w:val="24"/>
        </w:rPr>
        <w:t xml:space="preserve">como plataformas </w:t>
      </w:r>
      <w:r>
        <w:rPr>
          <w:rFonts w:ascii="Times New Roman" w:eastAsia="SimSun" w:hAnsi="Times New Roman" w:cs="Times New Roman"/>
          <w:i/>
          <w:iCs/>
          <w:sz w:val="24"/>
          <w:szCs w:val="24"/>
        </w:rPr>
        <w:t>online</w:t>
      </w:r>
      <w:r>
        <w:rPr>
          <w:rFonts w:ascii="Times New Roman" w:eastAsia="SimSun" w:hAnsi="Times New Roman" w:cs="Times New Roman"/>
          <w:sz w:val="24"/>
          <w:szCs w:val="24"/>
        </w:rPr>
        <w:t xml:space="preserve"> e </w:t>
      </w:r>
      <w:r>
        <w:rPr>
          <w:rFonts w:ascii="Times New Roman" w:eastAsia="SimSun" w:hAnsi="Times New Roman" w:cs="Times New Roman"/>
          <w:i/>
          <w:iCs/>
          <w:sz w:val="24"/>
          <w:szCs w:val="24"/>
        </w:rPr>
        <w:t>softwares</w:t>
      </w:r>
      <w:r>
        <w:rPr>
          <w:rFonts w:ascii="Times New Roman" w:eastAsia="SimSun" w:hAnsi="Times New Roman" w:cs="Times New Roman"/>
          <w:sz w:val="24"/>
          <w:szCs w:val="24"/>
        </w:rPr>
        <w:t xml:space="preserve"> que melhoram a interação, simplificam o acesso ao conteúdo e tornam o aprendizado mais envolvente.</w:t>
      </w:r>
    </w:p>
    <w:p w14:paraId="022E392D"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O principal objetivo das tecnologias digitais na educação é tomar o acesso à informação mais democrático e diversificar as metodologias de ensino-aprendizagem. Entre as ferramentas mais relevantes, estão os Ambiente Virtual de Aprendizagem (AVA), como Moodle e Google Classroom; plataformas de videoconferência, como Zoom, Meet, Microsoft Teams e WhatsApp; além de recursos multimídia, como vídeos do YouTube e podcasts. Esses aparatos são fundamentais para a formação docente, uma vez que promovem métodos pedagógicas inovadores e melhoram a práxis educativa (Narciso </w:t>
      </w:r>
      <w:r>
        <w:rPr>
          <w:rFonts w:ascii="Times New Roman" w:eastAsia="SimSun" w:hAnsi="Times New Roman" w:cs="Times New Roman"/>
          <w:i/>
          <w:iCs/>
          <w:sz w:val="24"/>
          <w:szCs w:val="24"/>
        </w:rPr>
        <w:t>et al</w:t>
      </w:r>
      <w:r>
        <w:rPr>
          <w:rFonts w:ascii="Times New Roman" w:eastAsia="SimSun" w:hAnsi="Times New Roman" w:cs="Times New Roman"/>
          <w:sz w:val="24"/>
          <w:szCs w:val="24"/>
        </w:rPr>
        <w:t xml:space="preserve">., 2024). </w:t>
      </w:r>
    </w:p>
    <w:p w14:paraId="42542CBE" w14:textId="77777777" w:rsidR="00C87C80" w:rsidRDefault="00C87C80" w:rsidP="00C87C80">
      <w:pPr>
        <w:spacing w:line="360" w:lineRule="auto"/>
        <w:ind w:firstLine="799"/>
        <w:jc w:val="both"/>
        <w:rPr>
          <w:rFonts w:ascii="Times New Roman" w:eastAsia="SimSun" w:hAnsi="Times New Roman" w:cs="Times New Roman"/>
          <w:color w:val="FF0000"/>
          <w:sz w:val="24"/>
          <w:szCs w:val="24"/>
        </w:rPr>
      </w:pPr>
      <w:r>
        <w:rPr>
          <w:rFonts w:ascii="Times New Roman" w:eastAsia="SimSun" w:hAnsi="Times New Roman" w:cs="Times New Roman"/>
          <w:sz w:val="24"/>
          <w:szCs w:val="24"/>
        </w:rPr>
        <w:t xml:space="preserve">A integração de tecnologia emergentes, especialmente a inteligência artificial (IA), tem contribuído para o planejamento das aulas e otimizando o tempo e a organização de conteúdo. No entanto, essa tendência recebe críticas que ligam o planejamento excessivo à burocracia característica do sistema capitalista. Apesar de a </w:t>
      </w:r>
      <w:bookmarkStart w:id="2" w:name="OLE_LINK2"/>
      <w:r>
        <w:rPr>
          <w:rFonts w:ascii="Times New Roman" w:eastAsia="SimSun" w:hAnsi="Times New Roman" w:cs="Times New Roman"/>
          <w:sz w:val="24"/>
          <w:szCs w:val="24"/>
        </w:rPr>
        <w:t xml:space="preserve">racionalização </w:t>
      </w:r>
      <w:bookmarkEnd w:id="2"/>
      <w:r>
        <w:rPr>
          <w:rFonts w:ascii="Times New Roman" w:eastAsia="SimSun" w:hAnsi="Times New Roman" w:cs="Times New Roman"/>
          <w:sz w:val="24"/>
          <w:szCs w:val="24"/>
        </w:rPr>
        <w:t>buscar aprimorar a transmissão dos conhecimentos, é imperativo que a revolução tecnológica do século XXI, não ofusque a educação popular nem os conhecimentos tradicionais. Nesse contexto, Oliveira et al. (2018) afirmam que, a educação popular se baseia em três dimensões fundamentais: i) a valorização do conhecimento prévio dos sujeitos; ii) o reconhecimento dos saberes sociais em articulação com o acesso ao conhecimento científico-técnicos; e iii) a promoção de diálogos interdimensionais para a criação de novos saberes.</w:t>
      </w:r>
    </w:p>
    <w:p w14:paraId="3245541C" w14:textId="77777777" w:rsidR="00C87C80" w:rsidRDefault="00C87C80" w:rsidP="00C87C80">
      <w:pPr>
        <w:spacing w:line="360" w:lineRule="auto"/>
        <w:jc w:val="both"/>
      </w:pPr>
      <w:r>
        <w:rPr>
          <w:rFonts w:ascii="Times New Roman" w:hAnsi="Times New Roman" w:cs="Times New Roman"/>
          <w:sz w:val="24"/>
          <w:szCs w:val="24"/>
        </w:rPr>
        <w:t xml:space="preserve">            Segundo Silva et al</w:t>
      </w:r>
      <w:r>
        <w:rPr>
          <w:rFonts w:ascii="Times New Roman" w:hAnsi="Times New Roman" w:cs="Times New Roman"/>
          <w:i/>
          <w:iCs/>
          <w:sz w:val="24"/>
          <w:szCs w:val="24"/>
        </w:rPr>
        <w:t>.</w:t>
      </w:r>
      <w:r>
        <w:rPr>
          <w:rFonts w:ascii="Times New Roman" w:hAnsi="Times New Roman" w:cs="Times New Roman"/>
          <w:sz w:val="24"/>
          <w:szCs w:val="24"/>
        </w:rPr>
        <w:t xml:space="preserve"> (2017, p. 17), “a educação é um elemento fundamental, pois toda a educação escolar deveria ser construída de forma colaborativa, priorizando, nas ações pedagógicas concretas em vez de meras regras”. Nessa perspectiva, o professor assume o papel de mediador, contrastando com a visão tradicional de Comênio, que acreditava que o sucesso escolar dependia da estrita observância das normas.</w:t>
      </w:r>
      <w:r>
        <w:t xml:space="preserve"> </w:t>
      </w:r>
    </w:p>
    <w:p w14:paraId="28B893E9" w14:textId="77777777" w:rsidR="00C87C80" w:rsidRDefault="00C87C80" w:rsidP="00C87C80">
      <w:pPr>
        <w:spacing w:line="360" w:lineRule="auto"/>
        <w:ind w:firstLine="709"/>
        <w:jc w:val="both"/>
      </w:pPr>
      <w:r>
        <w:rPr>
          <w:rFonts w:ascii="Times New Roman" w:eastAsia="SimSun" w:hAnsi="Times New Roman" w:cs="Times New Roman"/>
          <w:sz w:val="24"/>
          <w:szCs w:val="24"/>
        </w:rPr>
        <w:t xml:space="preserve">De acordo com Freires (2024), o aprendizado em ambiente digitais promove uma construção ativa do conhecimento e a colaboração entre os alunos. Diante desse panorama, a formação inicial precisa atualizar os currículos, uma vez que a </w:t>
      </w:r>
      <w:r>
        <w:rPr>
          <w:rFonts w:ascii="Times New Roman" w:eastAsia="SimSun" w:hAnsi="Times New Roman" w:cs="Times New Roman"/>
          <w:sz w:val="24"/>
          <w:szCs w:val="24"/>
          <w:lang w:val="pt-PT"/>
        </w:rPr>
        <w:t>“</w:t>
      </w:r>
      <w:r>
        <w:rPr>
          <w:rFonts w:ascii="Times New Roman" w:eastAsia="SimSun" w:hAnsi="Times New Roman" w:cs="Times New Roman"/>
          <w:sz w:val="24"/>
          <w:szCs w:val="24"/>
        </w:rPr>
        <w:t>tecnologia não só proporciona novas formas de ensinar e aprender, mas também permite que os futuros professores desenvolvam uma relação com a inovação e a adaptação curricular</w:t>
      </w:r>
      <w:r>
        <w:rPr>
          <w:rFonts w:ascii="Times New Roman" w:eastAsia="SimSun" w:hAnsi="Times New Roman" w:cs="Times New Roman"/>
          <w:sz w:val="24"/>
          <w:szCs w:val="24"/>
          <w:lang w:val="pt-PT"/>
        </w:rPr>
        <w:t xml:space="preserve">” </w:t>
      </w:r>
      <w:r>
        <w:rPr>
          <w:rFonts w:ascii="Times New Roman" w:eastAsia="SimSun" w:hAnsi="Times New Roman" w:cs="Times New Roman"/>
          <w:sz w:val="24"/>
          <w:szCs w:val="24"/>
        </w:rPr>
        <w:t xml:space="preserve">(Narciso </w:t>
      </w:r>
      <w:r>
        <w:rPr>
          <w:rFonts w:ascii="Times New Roman" w:eastAsia="SimSun" w:hAnsi="Times New Roman" w:cs="Times New Roman"/>
          <w:i/>
          <w:iCs/>
          <w:sz w:val="24"/>
          <w:szCs w:val="24"/>
        </w:rPr>
        <w:t>et al</w:t>
      </w:r>
      <w:r>
        <w:rPr>
          <w:rFonts w:ascii="Times New Roman" w:eastAsia="SimSun" w:hAnsi="Times New Roman" w:cs="Times New Roman"/>
          <w:sz w:val="24"/>
          <w:szCs w:val="24"/>
        </w:rPr>
        <w:t xml:space="preserve">., 2024. p.17). </w:t>
      </w:r>
      <w:r>
        <w:rPr>
          <w:rFonts w:ascii="Times New Roman" w:eastAsia="SimSun" w:hAnsi="Times New Roman" w:cs="Times New Roman"/>
          <w:sz w:val="24"/>
          <w:szCs w:val="24"/>
          <w:lang w:val="pt-PT"/>
        </w:rPr>
        <w:t xml:space="preserve">Além disso, </w:t>
      </w:r>
      <w:r>
        <w:rPr>
          <w:rFonts w:ascii="Times New Roman" w:eastAsia="CIDFont" w:hAnsi="Times New Roman" w:cs="Times New Roman"/>
          <w:color w:val="000000"/>
          <w:sz w:val="24"/>
          <w:szCs w:val="24"/>
        </w:rPr>
        <w:t>Munguambe</w:t>
      </w:r>
      <w:r>
        <w:rPr>
          <w:rFonts w:ascii="Times New Roman" w:eastAsia="CIDFont" w:hAnsi="Times New Roman" w:cs="Times New Roman"/>
          <w:color w:val="000000"/>
          <w:sz w:val="24"/>
          <w:szCs w:val="24"/>
          <w:lang w:val="pt-PT"/>
        </w:rPr>
        <w:t xml:space="preserve"> (2025. p.8)</w:t>
      </w:r>
      <w:r>
        <w:rPr>
          <w:rFonts w:ascii="Times New Roman" w:eastAsia="SimSun" w:hAnsi="Times New Roman" w:cs="Times New Roman"/>
          <w:sz w:val="24"/>
          <w:szCs w:val="24"/>
          <w:lang w:val="pt-PT"/>
        </w:rPr>
        <w:t xml:space="preserve"> enfatiza que “o futuro da ética educacional em Moçambique  depende da capacidade do sistema educacional  de integrar de forma equilibrada os valores  tradicionais e modernos”</w:t>
      </w:r>
      <w:r>
        <w:rPr>
          <w:rFonts w:ascii="Times New Roman" w:eastAsia="CIDFont" w:hAnsi="Times New Roman" w:cs="Times New Roman"/>
          <w:color w:val="000000"/>
          <w:sz w:val="24"/>
          <w:szCs w:val="24"/>
          <w:lang w:val="pt-PT"/>
        </w:rPr>
        <w:t>. A integração da ética tradicional com novos metodos globalizantes permite o desenvolvimento de uma educação inclusiva,  critica e transformadora.</w:t>
      </w:r>
    </w:p>
    <w:p w14:paraId="4C0F0E09"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 falta de energia e o acesso limitado à internet dificultam esse processo, mostrando que as políticas públicas no setor de telecomunicações ainda não são adequadas. É imperativo priorizar a expansão do acesso a preços acessíveis nos pacotes móveis das operadoras (Vodacom, Movitel e Tmcel). Em regiões rurais, a escassez de água tratada precariedades de serviços básicos relativiza a importância do celular, uma vez que as necessidades de subsistência imediata se sobrepõem à dimensão digital. No entanto, é fundamental desenvolver habilidades de alfabetização para aproveitar a rede, uma vez que “o domínio do ambiente digital é um pilar indispensável para o desenvolvimento sustentável de um país” (Lagarto, 2018. p.7). </w:t>
      </w:r>
    </w:p>
    <w:p w14:paraId="789A588A"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egoe UI" w:hAnsi="Times New Roman" w:cs="Times New Roman"/>
          <w:color w:val="000000"/>
          <w:sz w:val="24"/>
          <w:szCs w:val="24"/>
          <w:shd w:val="clear" w:color="auto" w:fill="FFFFFF"/>
        </w:rPr>
        <w:t xml:space="preserve">A educação e a formação profissional são fundamentais para o desenvolvimento sustentável e a justiça social. </w:t>
      </w:r>
      <w:r>
        <w:rPr>
          <w:rFonts w:ascii="Times New Roman" w:eastAsia="SimSun" w:hAnsi="Times New Roman" w:cs="Times New Roman"/>
          <w:sz w:val="24"/>
          <w:szCs w:val="24"/>
        </w:rPr>
        <w:t xml:space="preserve">Em Moçambique, a tecnologia tem um grande potencial para inclusão, no entanto, muitas escolas rurais sofrem com um défice severo de recursos didáticos digitais e ferramentas de acessibilidade. Conforme Matias </w:t>
      </w:r>
      <w:r>
        <w:rPr>
          <w:rFonts w:ascii="Times New Roman" w:eastAsia="SimSun" w:hAnsi="Times New Roman" w:cs="Times New Roman"/>
          <w:i/>
          <w:sz w:val="24"/>
          <w:szCs w:val="24"/>
        </w:rPr>
        <w:t>et al.</w:t>
      </w:r>
      <w:r>
        <w:rPr>
          <w:rFonts w:ascii="Times New Roman" w:eastAsia="SimSun" w:hAnsi="Times New Roman" w:cs="Times New Roman"/>
          <w:sz w:val="24"/>
          <w:szCs w:val="24"/>
        </w:rPr>
        <w:t xml:space="preserve"> (2024. p. 52) afirma que “o uso de tecnologias digitais, como tablet, telefone e aplicativos educacionais, pode ajudar a melhorar a comunicação, a interação social e a autonomia dos estudantes com deficiência intelectual”. </w:t>
      </w:r>
    </w:p>
    <w:p w14:paraId="5443AE34"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Para diminuir a exclusão digital são necessárias políticas públicas que incentivem a integração sustentável da tecnologia. Isso permite o uso de metodologias ativas que aumentem o interesse dos alunos e tornem o aprendizado realmente relevante, por meio de capacitação de professores e de programas que assegurem acesso universal a dispositivos e conectividade (Lima, 2021). É </w:t>
      </w:r>
      <w:r>
        <w:rPr>
          <w:rFonts w:ascii="Times New Roman" w:eastAsia="Segoe UI" w:hAnsi="Times New Roman" w:cs="Times New Roman"/>
          <w:color w:val="000000"/>
          <w:sz w:val="24"/>
          <w:szCs w:val="24"/>
          <w:shd w:val="clear" w:color="auto" w:fill="FFFFFF"/>
        </w:rPr>
        <w:t>vital que os educadores adotem métodos pedagógicas inovadores que envolvam os estudantes, mudando as interações de forma robusta</w:t>
      </w:r>
      <w:r>
        <w:rPr>
          <w:rFonts w:ascii="Times New Roman" w:eastAsia="Segoe UI" w:hAnsi="Times New Roman" w:cs="Times New Roman"/>
          <w:color w:val="000000"/>
          <w:sz w:val="24"/>
          <w:szCs w:val="24"/>
          <w:shd w:val="clear" w:color="auto" w:fill="FFFFFF"/>
          <w:lang w:val="pt-PT"/>
        </w:rPr>
        <w:t xml:space="preserve"> </w:t>
      </w:r>
      <w:r>
        <w:rPr>
          <w:rFonts w:ascii="Times New Roman" w:eastAsia="SimSun" w:hAnsi="Times New Roman" w:cs="Times New Roman"/>
          <w:sz w:val="24"/>
          <w:szCs w:val="24"/>
        </w:rPr>
        <w:t>(Ferreira, 2014).</w:t>
      </w:r>
    </w:p>
    <w:p w14:paraId="437ED556" w14:textId="77777777" w:rsidR="00C87C80" w:rsidRDefault="00C87C80" w:rsidP="00C87C80">
      <w:pPr>
        <w:spacing w:line="360" w:lineRule="auto"/>
        <w:ind w:firstLine="799"/>
        <w:jc w:val="both"/>
        <w:rPr>
          <w:rFonts w:ascii="Times New Roman" w:eastAsia="SimSun" w:hAnsi="Times New Roman" w:cs="Times New Roman"/>
          <w:sz w:val="24"/>
          <w:szCs w:val="24"/>
        </w:rPr>
      </w:pPr>
    </w:p>
    <w:p w14:paraId="73CB12EA" w14:textId="77777777" w:rsidR="00C87C80" w:rsidRDefault="00C87C80" w:rsidP="00C87C80">
      <w:pPr>
        <w:spacing w:line="360" w:lineRule="auto"/>
        <w:rPr>
          <w:rFonts w:ascii="Times New Roman" w:eastAsia="SimSun" w:hAnsi="Times New Roman" w:cs="Times New Roman"/>
          <w:b/>
          <w:sz w:val="24"/>
          <w:szCs w:val="24"/>
        </w:rPr>
      </w:pPr>
      <w:r>
        <w:rPr>
          <w:rFonts w:ascii="Times New Roman" w:eastAsia="SimSun" w:hAnsi="Times New Roman" w:cs="Times New Roman"/>
          <w:b/>
          <w:sz w:val="24"/>
          <w:szCs w:val="24"/>
        </w:rPr>
        <w:t xml:space="preserve">2.2. </w:t>
      </w:r>
      <w:r>
        <w:rPr>
          <w:rFonts w:ascii="Times New Roman" w:eastAsia="SimSun" w:hAnsi="Times New Roman" w:cs="Times New Roman"/>
          <w:b/>
          <w:bCs/>
          <w:sz w:val="24"/>
          <w:szCs w:val="24"/>
        </w:rPr>
        <w:t>INTELIGÊNCIA ARTIFICIAL (IA) NA EDUCAÇÃO</w:t>
      </w:r>
    </w:p>
    <w:p w14:paraId="50A19092" w14:textId="77777777" w:rsidR="00C87C80" w:rsidRDefault="00C87C80" w:rsidP="00C87C80">
      <w:pPr>
        <w:pStyle w:val="PargrafodaLista"/>
        <w:ind w:left="0"/>
        <w:jc w:val="both"/>
        <w:rPr>
          <w:rFonts w:ascii="Times New Roman" w:eastAsia="SimSun" w:hAnsi="Times New Roman" w:cs="Times New Roman"/>
          <w:b/>
          <w:bCs/>
          <w:sz w:val="10"/>
          <w:szCs w:val="10"/>
        </w:rPr>
      </w:pPr>
    </w:p>
    <w:p w14:paraId="61340ABA" w14:textId="77777777" w:rsidR="00C87C80" w:rsidRDefault="00C87C80" w:rsidP="00C87C80">
      <w:pPr>
        <w:pStyle w:val="PargrafodaLista"/>
        <w:ind w:left="0"/>
        <w:jc w:val="both"/>
        <w:rPr>
          <w:rFonts w:ascii="Times New Roman" w:eastAsia="SimSun" w:hAnsi="Times New Roman" w:cs="Times New Roman"/>
          <w:b/>
          <w:bCs/>
          <w:sz w:val="14"/>
          <w:szCs w:val="14"/>
        </w:rPr>
      </w:pPr>
    </w:p>
    <w:p w14:paraId="248C6BAC" w14:textId="77777777" w:rsidR="00C87C80" w:rsidRDefault="00C87C80" w:rsidP="00C87C80">
      <w:pPr>
        <w:spacing w:line="360" w:lineRule="auto"/>
        <w:ind w:firstLine="799"/>
        <w:jc w:val="both"/>
        <w:rPr>
          <w:rFonts w:ascii="Times New Roman" w:hAnsi="Times New Roman" w:cs="Times New Roman"/>
          <w:sz w:val="24"/>
          <w:szCs w:val="24"/>
        </w:rPr>
      </w:pPr>
      <w:r>
        <w:rPr>
          <w:rFonts w:ascii="Times New Roman" w:eastAsia="SimSun" w:hAnsi="Times New Roman" w:cs="Times New Roman"/>
          <w:sz w:val="24"/>
          <w:szCs w:val="24"/>
        </w:rPr>
        <w:t xml:space="preserve">Os programas de capacitação tecnológico não devem apenas reforçar a confiança entre professores, mas também melhorar a qualidade do ensino. Isso permite a adoção de métodos mais eficazes e personalizados, reformulando a prática docente e oferecendo aos educadores maior flexibilidade para entender as demandas dos alunos. Por exemplo disso é a Inteligência Artificial (IA). Esse recurso funciona como “um assistente virtual pode ajudar os alunos a resolver problemas matemáticos, explicar conceitos complexos ou oferecer dicas sobre como melhorar suas habilidades de escrita”(Freires </w:t>
      </w:r>
      <w:r>
        <w:rPr>
          <w:rFonts w:ascii="Times New Roman" w:eastAsia="SimSun" w:hAnsi="Times New Roman" w:cs="Times New Roman"/>
          <w:i/>
          <w:iCs/>
          <w:sz w:val="24"/>
          <w:szCs w:val="24"/>
        </w:rPr>
        <w:t>et al</w:t>
      </w:r>
      <w:r>
        <w:rPr>
          <w:rFonts w:ascii="Times New Roman" w:eastAsia="SimSun" w:hAnsi="Times New Roman" w:cs="Times New Roman"/>
          <w:sz w:val="24"/>
          <w:szCs w:val="24"/>
        </w:rPr>
        <w:t xml:space="preserve">, 2024. p.6). </w:t>
      </w:r>
    </w:p>
    <w:p w14:paraId="3A0B60C1"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Esse suporte tem se mostrado extremamente eficiente ao incentivar a inovação e as possibilidades na educação. No campo da acessibilidade, a IA contribui ao facilitar o atendimento humano por meio de </w:t>
      </w:r>
      <w:r>
        <w:rPr>
          <w:rFonts w:ascii="Times New Roman" w:eastAsia="SimSun" w:hAnsi="Times New Roman" w:cs="Times New Roman"/>
          <w:i/>
          <w:iCs/>
          <w:sz w:val="24"/>
          <w:szCs w:val="24"/>
        </w:rPr>
        <w:t>softwares</w:t>
      </w:r>
      <w:r>
        <w:rPr>
          <w:rFonts w:ascii="Times New Roman" w:eastAsia="SimSun" w:hAnsi="Times New Roman" w:cs="Times New Roman"/>
          <w:sz w:val="24"/>
          <w:szCs w:val="24"/>
        </w:rPr>
        <w:t xml:space="preserve"> de leitura para pessoas com deficiência visual, permitindo que os educadores se concentrem em atividades pedagógicas sofisticadas. Vale ressaltar que “a tecnologia está permitindo a criação de novos modelos de ensino, a personalização do aprendizado e a ampliação do acesso ao conhecimento” (Fernando </w:t>
      </w:r>
      <w:r>
        <w:rPr>
          <w:rFonts w:ascii="Times New Roman" w:eastAsia="SimSun" w:hAnsi="Times New Roman" w:cs="Times New Roman"/>
          <w:i/>
          <w:iCs/>
          <w:sz w:val="24"/>
          <w:szCs w:val="24"/>
        </w:rPr>
        <w:t>et al</w:t>
      </w:r>
      <w:r>
        <w:rPr>
          <w:rFonts w:ascii="Times New Roman" w:eastAsia="SimSun" w:hAnsi="Times New Roman" w:cs="Times New Roman"/>
          <w:sz w:val="24"/>
          <w:szCs w:val="24"/>
        </w:rPr>
        <w:t xml:space="preserve">, 2023, p. 314). </w:t>
      </w:r>
    </w:p>
    <w:p w14:paraId="618B9996" w14:textId="77777777" w:rsidR="00C87C80" w:rsidRDefault="00C87C80" w:rsidP="00C87C80">
      <w:pPr>
        <w:spacing w:line="360" w:lineRule="auto"/>
        <w:ind w:firstLine="799"/>
        <w:jc w:val="both"/>
        <w:rPr>
          <w:rFonts w:ascii="Times New Roman" w:eastAsia="SimSun" w:hAnsi="Times New Roman" w:cs="Times New Roman"/>
          <w:sz w:val="24"/>
          <w:szCs w:val="24"/>
        </w:rPr>
      </w:pPr>
      <w:bookmarkStart w:id="3" w:name="OLE_LINK3"/>
      <w:r>
        <w:rPr>
          <w:rFonts w:ascii="Times New Roman" w:eastAsia="SimSun" w:hAnsi="Times New Roman" w:cs="Times New Roman"/>
          <w:sz w:val="24"/>
          <w:szCs w:val="24"/>
        </w:rPr>
        <w:t xml:space="preserve">Apesar de a IA trazer benefícios e oferecer insights valiosos como a criação de planos de aulas, apresentações e resumos materiais, ela não pode substituir a capacidade humana de aplicar valores com compaixão e criatividade em situações complexas. Ela deve ser considerada uma ferramenta de apoio ao ser humano, e não um substituto do julgamento humano; “seu uso impróprio pode impactar o pensamento e resultar em estudantes apresentem textos que não escreveram como de sua própria autoria, um novo tipo de plágio” (UNESCO, 2024, p. 29). </w:t>
      </w:r>
    </w:p>
    <w:p w14:paraId="439008A7"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A partir da década de 1980, a integração entre telecomunicações e informática deu origem às Tecnologias da Informação e Comunicação (TICs). O progresso nesse campo, impulsionado pela redução de custos e pela popularização do Wi-fi, mudou consideravelmente o acesso às TICs e transformou profundamente os padrões sociais. Esse avanço tem como objetivo “melhorar o bem-estar, a qualidade de vida, a educação, a saúde e a inclusão social dos cidadãos” (Lagarto, 2018. p. 2).</w:t>
      </w:r>
    </w:p>
    <w:p w14:paraId="07A8BD7F"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No século XXI, para que o ensino seja bem sucedido, é necessário que professores e alunos dominem as tecnologias digitais de maneira consciente, critica, criativa e colaborativa, a fim de otimizar o processo de ensino-aprendizagem. Seu engajamento exige uma integração inteligente dessas ferramentas nas práticas pedagógicas (UNESCO, 2024). De acordo com Jesus </w:t>
      </w:r>
      <w:r>
        <w:rPr>
          <w:rFonts w:ascii="Times New Roman" w:eastAsia="SimSun" w:hAnsi="Times New Roman" w:cs="Times New Roman"/>
          <w:i/>
          <w:iCs/>
          <w:sz w:val="24"/>
          <w:szCs w:val="24"/>
        </w:rPr>
        <w:t>et al</w:t>
      </w:r>
      <w:r>
        <w:rPr>
          <w:rFonts w:ascii="Times New Roman" w:eastAsia="SimSun" w:hAnsi="Times New Roman" w:cs="Times New Roman"/>
          <w:sz w:val="24"/>
          <w:szCs w:val="24"/>
        </w:rPr>
        <w:t xml:space="preserve">., (2020. p.28) “a inovação na educação transforma alunos de meros receptores em criadores de conhecimento, colocando-os no centro de ambientes de aprendizagem dinâmicos, que integram tecnologias tradicionais e modernas”. </w:t>
      </w:r>
      <w:r>
        <w:rPr>
          <w:rFonts w:ascii="Times New Roman" w:eastAsia="SimSun" w:hAnsi="Times New Roman" w:cs="Times New Roman"/>
          <w:sz w:val="24"/>
          <w:szCs w:val="24"/>
          <w:lang w:val="pt-PT"/>
        </w:rPr>
        <w:t>Os autores ressaltam que a</w:t>
      </w:r>
      <w:r>
        <w:rPr>
          <w:rFonts w:ascii="Times New Roman" w:eastAsia="SimSun" w:hAnsi="Times New Roman" w:cs="Times New Roman"/>
          <w:sz w:val="24"/>
          <w:szCs w:val="24"/>
        </w:rPr>
        <w:t xml:space="preserve"> inovação na educação abrange quatro espectro: i) valorização positiva; ii)a mudança por meio da reforma; iii) a alteração da proposta curricular e iv) a transformação das práticas habituais. A tecnologia educacional não é uma solução mágica, mas um recurso voltado para “melhorar a prática educativas e os resultados da educação, não em simplesmente substituir métodos tradicional” (Oliveira, 1980. p.68). </w:t>
      </w:r>
    </w:p>
    <w:p w14:paraId="6F7A67E8" w14:textId="77777777" w:rsidR="00C87C80" w:rsidRDefault="00C87C80" w:rsidP="00C87C80">
      <w:pPr>
        <w:spacing w:line="360" w:lineRule="auto"/>
        <w:jc w:val="center"/>
        <w:rPr>
          <w:rFonts w:ascii="Times New Roman" w:eastAsia="SimSun" w:hAnsi="Times New Roman" w:cs="Times New Roman"/>
          <w:sz w:val="24"/>
          <w:szCs w:val="24"/>
        </w:rPr>
      </w:pPr>
      <w:r>
        <w:rPr>
          <w:rFonts w:ascii="Times New Roman" w:eastAsia="SimSun" w:hAnsi="Times New Roman" w:cs="Times New Roman"/>
          <w:b/>
          <w:bCs/>
          <w:sz w:val="18"/>
          <w:szCs w:val="18"/>
        </w:rPr>
        <w:t>Tabela 1</w:t>
      </w:r>
    </w:p>
    <w:p w14:paraId="45F12704" w14:textId="77777777" w:rsidR="00C87C80" w:rsidRDefault="00C87C80" w:rsidP="00C87C80">
      <w:pPr>
        <w:ind w:firstLine="799"/>
        <w:jc w:val="both"/>
        <w:rPr>
          <w:rFonts w:ascii="Times New Roman" w:eastAsia="SimSun" w:hAnsi="Times New Roman" w:cs="Times New Roman"/>
          <w:sz w:val="2"/>
          <w:szCs w:val="2"/>
        </w:rPr>
      </w:pPr>
    </w:p>
    <w:p w14:paraId="4F72A87B" w14:textId="77777777" w:rsidR="00C87C80" w:rsidRDefault="00C87C80" w:rsidP="00C87C80">
      <w:pPr>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A tabela a seguir ilustra as vantagens e os possíveis riscos no uso da IA</w:t>
      </w:r>
    </w:p>
    <w:p w14:paraId="7CB66354" w14:textId="77777777" w:rsidR="00C87C80" w:rsidRDefault="00C87C80" w:rsidP="00C87C80">
      <w:pPr>
        <w:ind w:firstLine="799"/>
        <w:jc w:val="both"/>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2376"/>
        <w:gridCol w:w="2410"/>
        <w:gridCol w:w="2269"/>
        <w:gridCol w:w="2232"/>
      </w:tblGrid>
      <w:tr w:rsidR="00C87C80" w14:paraId="2B7086B8" w14:textId="77777777" w:rsidTr="00C87C80">
        <w:trPr>
          <w:trHeight w:val="125"/>
        </w:trPr>
        <w:tc>
          <w:tcPr>
            <w:tcW w:w="9287" w:type="dxa"/>
            <w:gridSpan w:val="4"/>
            <w:tcBorders>
              <w:top w:val="single" w:sz="4" w:space="0" w:color="000000"/>
              <w:left w:val="single" w:sz="4" w:space="0" w:color="000000"/>
              <w:bottom w:val="single" w:sz="4" w:space="0" w:color="auto"/>
              <w:right w:val="single" w:sz="4" w:space="0" w:color="000000"/>
            </w:tcBorders>
            <w:shd w:val="clear" w:color="auto" w:fill="E2EFD9" w:themeFill="accent6" w:themeFillTint="33"/>
            <w:hideMark/>
          </w:tcPr>
          <w:bookmarkEnd w:id="3"/>
          <w:p w14:paraId="7C0D75E3" w14:textId="77777777" w:rsidR="00C87C80" w:rsidRDefault="00C87C80">
            <w:pPr>
              <w:jc w:val="center"/>
              <w:rPr>
                <w:rFonts w:eastAsia="SimSun"/>
                <w:b/>
                <w:bCs/>
                <w:sz w:val="24"/>
                <w:szCs w:val="24"/>
              </w:rPr>
            </w:pPr>
            <w:r>
              <w:rPr>
                <w:rFonts w:eastAsia="SimSun"/>
                <w:b/>
                <w:bCs/>
              </w:rPr>
              <w:t>CO- PROJETAR O USO IA NA EDUCAÇÃO</w:t>
            </w:r>
          </w:p>
        </w:tc>
      </w:tr>
      <w:tr w:rsidR="00C87C80" w14:paraId="0FCACB04" w14:textId="77777777" w:rsidTr="00C87C80">
        <w:trPr>
          <w:trHeight w:val="288"/>
        </w:trPr>
        <w:tc>
          <w:tcPr>
            <w:tcW w:w="2376" w:type="dxa"/>
            <w:tcBorders>
              <w:top w:val="single" w:sz="4" w:space="0" w:color="auto"/>
              <w:left w:val="single" w:sz="4" w:space="0" w:color="000000"/>
              <w:bottom w:val="single" w:sz="4" w:space="0" w:color="000000"/>
              <w:right w:val="single" w:sz="4" w:space="0" w:color="000000"/>
            </w:tcBorders>
            <w:shd w:val="clear" w:color="auto" w:fill="FFF2CC" w:themeFill="accent4" w:themeFillTint="33"/>
            <w:hideMark/>
          </w:tcPr>
          <w:p w14:paraId="16ED010F" w14:textId="77777777" w:rsidR="00C87C80" w:rsidRDefault="00C87C80">
            <w:pPr>
              <w:jc w:val="both"/>
              <w:rPr>
                <w:rFonts w:eastAsia="SimSun"/>
                <w:b/>
                <w:bCs/>
              </w:rPr>
            </w:pPr>
            <w:r>
              <w:rPr>
                <w:rFonts w:eastAsia="SimSun"/>
                <w:b/>
                <w:bCs/>
              </w:rPr>
              <w:t>Resultados esperados</w:t>
            </w:r>
          </w:p>
        </w:tc>
        <w:tc>
          <w:tcPr>
            <w:tcW w:w="2410" w:type="dxa"/>
            <w:tcBorders>
              <w:top w:val="single" w:sz="4" w:space="0" w:color="auto"/>
              <w:left w:val="single" w:sz="4" w:space="0" w:color="000000"/>
              <w:bottom w:val="single" w:sz="4" w:space="0" w:color="000000"/>
              <w:right w:val="single" w:sz="4" w:space="0" w:color="000000"/>
            </w:tcBorders>
            <w:shd w:val="clear" w:color="auto" w:fill="FFF2CC" w:themeFill="accent4" w:themeFillTint="33"/>
            <w:hideMark/>
          </w:tcPr>
          <w:p w14:paraId="1D4E697A" w14:textId="77777777" w:rsidR="00C87C80" w:rsidRDefault="00C87C80">
            <w:pPr>
              <w:jc w:val="both"/>
              <w:rPr>
                <w:rFonts w:eastAsia="SimSun"/>
                <w:b/>
                <w:bCs/>
              </w:rPr>
            </w:pPr>
            <w:r>
              <w:rPr>
                <w:rFonts w:eastAsia="SimSun"/>
                <w:b/>
                <w:bCs/>
              </w:rPr>
              <w:t>Requisitos para Usuários</w:t>
            </w:r>
          </w:p>
        </w:tc>
        <w:tc>
          <w:tcPr>
            <w:tcW w:w="2269" w:type="dxa"/>
            <w:tcBorders>
              <w:top w:val="single" w:sz="4" w:space="0" w:color="auto"/>
              <w:left w:val="single" w:sz="4" w:space="0" w:color="000000"/>
              <w:bottom w:val="single" w:sz="4" w:space="0" w:color="000000"/>
              <w:right w:val="single" w:sz="4" w:space="0" w:color="auto"/>
            </w:tcBorders>
            <w:shd w:val="clear" w:color="auto" w:fill="FFF2CC" w:themeFill="accent4" w:themeFillTint="33"/>
            <w:hideMark/>
          </w:tcPr>
          <w:p w14:paraId="64313CAB" w14:textId="77777777" w:rsidR="00C87C80" w:rsidRDefault="00C87C80">
            <w:pPr>
              <w:jc w:val="both"/>
              <w:rPr>
                <w:rFonts w:eastAsia="SimSun"/>
                <w:b/>
                <w:bCs/>
              </w:rPr>
            </w:pPr>
            <w:r>
              <w:rPr>
                <w:rFonts w:eastAsia="SimSun"/>
                <w:b/>
                <w:bCs/>
              </w:rPr>
              <w:t>Possíveis riscos</w:t>
            </w:r>
          </w:p>
        </w:tc>
        <w:tc>
          <w:tcPr>
            <w:tcW w:w="2232" w:type="dxa"/>
            <w:tcBorders>
              <w:top w:val="single" w:sz="4" w:space="0" w:color="auto"/>
              <w:left w:val="single" w:sz="4" w:space="0" w:color="auto"/>
              <w:bottom w:val="single" w:sz="4" w:space="0" w:color="000000"/>
              <w:right w:val="single" w:sz="4" w:space="0" w:color="000000"/>
            </w:tcBorders>
            <w:shd w:val="clear" w:color="auto" w:fill="FFF2CC" w:themeFill="accent4" w:themeFillTint="33"/>
            <w:hideMark/>
          </w:tcPr>
          <w:p w14:paraId="4FF153AC" w14:textId="77777777" w:rsidR="00C87C80" w:rsidRDefault="00C87C80">
            <w:pPr>
              <w:jc w:val="both"/>
              <w:rPr>
                <w:b/>
                <w:bCs/>
              </w:rPr>
            </w:pPr>
            <w:r>
              <w:rPr>
                <w:b/>
                <w:bCs/>
              </w:rPr>
              <w:t>Métodos pedagógicos</w:t>
            </w:r>
          </w:p>
          <w:p w14:paraId="7823C85F" w14:textId="77777777" w:rsidR="00C87C80" w:rsidRDefault="00C87C80">
            <w:pPr>
              <w:jc w:val="both"/>
              <w:rPr>
                <w:rFonts w:ascii="Arial" w:eastAsia="SimSun" w:hAnsi="Arial" w:cs="Arial"/>
                <w:b/>
                <w:bCs/>
                <w:sz w:val="24"/>
                <w:szCs w:val="24"/>
              </w:rPr>
            </w:pPr>
            <w:r>
              <w:rPr>
                <w:b/>
                <w:bCs/>
              </w:rPr>
              <w:t>humanos necessários</w:t>
            </w:r>
          </w:p>
        </w:tc>
      </w:tr>
      <w:tr w:rsidR="00C87C80" w14:paraId="4316252A" w14:textId="77777777" w:rsidTr="00C87C80">
        <w:tc>
          <w:tcPr>
            <w:tcW w:w="2376" w:type="dxa"/>
            <w:tcBorders>
              <w:top w:val="single" w:sz="4" w:space="0" w:color="000000"/>
              <w:left w:val="single" w:sz="4" w:space="0" w:color="000000"/>
              <w:bottom w:val="single" w:sz="4" w:space="0" w:color="000000"/>
              <w:right w:val="single" w:sz="4" w:space="0" w:color="000000"/>
            </w:tcBorders>
            <w:hideMark/>
          </w:tcPr>
          <w:p w14:paraId="71DB1E82" w14:textId="77777777" w:rsidR="00C87C80" w:rsidRDefault="00C87C80">
            <w:pPr>
              <w:jc w:val="both"/>
              <w:rPr>
                <w:sz w:val="14"/>
                <w:szCs w:val="14"/>
              </w:rPr>
            </w:pPr>
            <w:r>
              <w:rPr>
                <w:sz w:val="14"/>
                <w:szCs w:val="14"/>
              </w:rPr>
              <w:t>Desenvolvimento e resposta a perguntas de pesquisa, sugerindo metodologias apropriadas. Usar a linguagem natural para identificar as necessidades de estudantes que têm problemas psicológicos, sociais ou emocionais ou dificuldades de aprendizagem, a fim de fornecer a eles suporte ou instrução adequados.</w:t>
            </w:r>
          </w:p>
        </w:tc>
        <w:tc>
          <w:tcPr>
            <w:tcW w:w="2410" w:type="dxa"/>
            <w:tcBorders>
              <w:top w:val="single" w:sz="4" w:space="0" w:color="000000"/>
              <w:left w:val="single" w:sz="4" w:space="0" w:color="000000"/>
              <w:bottom w:val="single" w:sz="4" w:space="0" w:color="000000"/>
              <w:right w:val="single" w:sz="4" w:space="0" w:color="000000"/>
            </w:tcBorders>
            <w:hideMark/>
          </w:tcPr>
          <w:p w14:paraId="7E2E5B0E" w14:textId="77777777" w:rsidR="00C87C80" w:rsidRDefault="00C87C80">
            <w:pPr>
              <w:jc w:val="both"/>
              <w:rPr>
                <w:sz w:val="14"/>
                <w:szCs w:val="14"/>
              </w:rPr>
            </w:pPr>
            <w:r>
              <w:rPr>
                <w:sz w:val="14"/>
                <w:szCs w:val="14"/>
              </w:rPr>
              <w:t>O professor deve ter um domínio do(s) tópico(s). Ele deve ser responsável na verificação de informações e ser capaz de detectar citações no texto acadêmicos que não existem.</w:t>
            </w:r>
          </w:p>
        </w:tc>
        <w:tc>
          <w:tcPr>
            <w:tcW w:w="2269" w:type="dxa"/>
            <w:tcBorders>
              <w:top w:val="single" w:sz="4" w:space="0" w:color="000000"/>
              <w:left w:val="single" w:sz="4" w:space="0" w:color="000000"/>
              <w:bottom w:val="single" w:sz="4" w:space="0" w:color="000000"/>
              <w:right w:val="single" w:sz="4" w:space="0" w:color="auto"/>
            </w:tcBorders>
            <w:hideMark/>
          </w:tcPr>
          <w:p w14:paraId="536835C6" w14:textId="77777777" w:rsidR="00C87C80" w:rsidRDefault="00C87C80">
            <w:pPr>
              <w:jc w:val="both"/>
              <w:rPr>
                <w:sz w:val="14"/>
                <w:szCs w:val="14"/>
              </w:rPr>
            </w:pPr>
            <w:r>
              <w:rPr>
                <w:sz w:val="14"/>
                <w:szCs w:val="14"/>
              </w:rPr>
              <w:t>IA inventa informações e o usuários só cópia e cola o texto gerado por IA, o que pode reduzir as oportunidades de aprendizado por meio de tentativas e erros para pesquisadores em início de carreira.</w:t>
            </w:r>
          </w:p>
        </w:tc>
        <w:tc>
          <w:tcPr>
            <w:tcW w:w="2232" w:type="dxa"/>
            <w:tcBorders>
              <w:top w:val="single" w:sz="4" w:space="0" w:color="000000"/>
              <w:left w:val="single" w:sz="4" w:space="0" w:color="auto"/>
              <w:bottom w:val="single" w:sz="4" w:space="0" w:color="000000"/>
              <w:right w:val="single" w:sz="4" w:space="0" w:color="000000"/>
            </w:tcBorders>
            <w:hideMark/>
          </w:tcPr>
          <w:p w14:paraId="5FE3D959" w14:textId="77777777" w:rsidR="00C87C80" w:rsidRDefault="00C87C80">
            <w:pPr>
              <w:jc w:val="both"/>
              <w:rPr>
                <w:sz w:val="14"/>
                <w:szCs w:val="14"/>
              </w:rPr>
            </w:pPr>
            <w:r>
              <w:rPr>
                <w:sz w:val="14"/>
                <w:szCs w:val="14"/>
              </w:rPr>
              <w:t>Ao usar plataformas de IA em geral, os professores podem orientar os estudantes a interagirem com as ferramentas de IA e solicitarem feedback para aprimoramento, correção da pronúncia ou exemplos de escrita.</w:t>
            </w:r>
          </w:p>
        </w:tc>
      </w:tr>
      <w:tr w:rsidR="00C87C80" w14:paraId="16EC3564" w14:textId="77777777" w:rsidTr="00C87C80">
        <w:tc>
          <w:tcPr>
            <w:tcW w:w="2376" w:type="dxa"/>
            <w:tcBorders>
              <w:top w:val="single" w:sz="4" w:space="0" w:color="000000"/>
              <w:left w:val="single" w:sz="4" w:space="0" w:color="000000"/>
              <w:bottom w:val="single" w:sz="4" w:space="0" w:color="000000"/>
              <w:right w:val="single" w:sz="4" w:space="0" w:color="000000"/>
            </w:tcBorders>
          </w:tcPr>
          <w:p w14:paraId="439CA36F" w14:textId="77777777" w:rsidR="00C87C80" w:rsidRDefault="00C87C80">
            <w:pPr>
              <w:jc w:val="both"/>
              <w:rPr>
                <w:sz w:val="14"/>
                <w:szCs w:val="14"/>
              </w:rPr>
            </w:pPr>
            <w:r>
              <w:rPr>
                <w:sz w:val="14"/>
                <w:szCs w:val="14"/>
              </w:rPr>
              <w:t>Coleta automática de informações, exploração de uma ampla gama de dados, elaboração de rascunhos de revisões de literatura e automação de partes da interpretação de dados</w:t>
            </w:r>
          </w:p>
          <w:p w14:paraId="6B36B7BB" w14:textId="77777777" w:rsidR="00C87C80" w:rsidRDefault="00C87C80">
            <w:pPr>
              <w:jc w:val="both"/>
              <w:rPr>
                <w:sz w:val="14"/>
                <w:szCs w:val="14"/>
              </w:rPr>
            </w:pPr>
          </w:p>
        </w:tc>
        <w:tc>
          <w:tcPr>
            <w:tcW w:w="2410" w:type="dxa"/>
            <w:tcBorders>
              <w:top w:val="single" w:sz="4" w:space="0" w:color="000000"/>
              <w:left w:val="single" w:sz="4" w:space="0" w:color="000000"/>
              <w:bottom w:val="single" w:sz="4" w:space="0" w:color="000000"/>
              <w:right w:val="single" w:sz="4" w:space="0" w:color="000000"/>
            </w:tcBorders>
            <w:hideMark/>
          </w:tcPr>
          <w:p w14:paraId="2D337C0B" w14:textId="77777777" w:rsidR="00C87C80" w:rsidRDefault="00C87C80">
            <w:pPr>
              <w:jc w:val="both"/>
              <w:rPr>
                <w:sz w:val="14"/>
                <w:szCs w:val="14"/>
              </w:rPr>
            </w:pPr>
            <w:r>
              <w:rPr>
                <w:sz w:val="14"/>
                <w:szCs w:val="14"/>
              </w:rPr>
              <w:t>Os pesquisadores devem ter um conhecimento sólido de metodologias e técnicas para a análise de dados</w:t>
            </w:r>
          </w:p>
        </w:tc>
        <w:tc>
          <w:tcPr>
            <w:tcW w:w="2269" w:type="dxa"/>
            <w:tcBorders>
              <w:top w:val="single" w:sz="4" w:space="0" w:color="000000"/>
              <w:left w:val="single" w:sz="4" w:space="0" w:color="000000"/>
              <w:bottom w:val="single" w:sz="4" w:space="0" w:color="000000"/>
              <w:right w:val="single" w:sz="4" w:space="0" w:color="auto"/>
            </w:tcBorders>
            <w:hideMark/>
          </w:tcPr>
          <w:p w14:paraId="2B2A7642" w14:textId="77777777" w:rsidR="00C87C80" w:rsidRDefault="00C87C80">
            <w:pPr>
              <w:jc w:val="both"/>
              <w:rPr>
                <w:sz w:val="14"/>
                <w:szCs w:val="14"/>
              </w:rPr>
            </w:pPr>
            <w:r>
              <w:rPr>
                <w:sz w:val="14"/>
                <w:szCs w:val="14"/>
              </w:rPr>
              <w:t>É preciso desconfiar das informações fabricadas pela IA, do tratamento impróprio de dados, de possíveis violações de privacidade, perfilagem não autorizadas e vieses de gênero. É preciso estar atento à propagação de normas dominantes e à ameaça às normas alternativas e opiniões plurais.</w:t>
            </w:r>
          </w:p>
        </w:tc>
        <w:tc>
          <w:tcPr>
            <w:tcW w:w="2232" w:type="dxa"/>
            <w:tcBorders>
              <w:top w:val="single" w:sz="4" w:space="0" w:color="000000"/>
              <w:left w:val="single" w:sz="4" w:space="0" w:color="auto"/>
              <w:bottom w:val="single" w:sz="4" w:space="0" w:color="000000"/>
              <w:right w:val="single" w:sz="4" w:space="0" w:color="000000"/>
            </w:tcBorders>
            <w:hideMark/>
          </w:tcPr>
          <w:p w14:paraId="170787AA" w14:textId="77777777" w:rsidR="00C87C80" w:rsidRDefault="00C87C80">
            <w:pPr>
              <w:jc w:val="both"/>
              <w:rPr>
                <w:sz w:val="14"/>
                <w:szCs w:val="14"/>
              </w:rPr>
            </w:pPr>
            <w:r>
              <w:rPr>
                <w:sz w:val="14"/>
                <w:szCs w:val="14"/>
              </w:rPr>
              <w:t>Os criadores humanos de currículos precisam verificar os conhecimentos factuais e avaliar a adequação dos conjuntos de cursos sugeridos. Exige que os professores compreendam claramente os problemas, monitorem a conversa e ajudem os estudantes a verificar respostas duvidosas fornecidas IA</w:t>
            </w:r>
          </w:p>
        </w:tc>
      </w:tr>
      <w:tr w:rsidR="00C87C80" w14:paraId="495E3E55" w14:textId="77777777" w:rsidTr="00C87C80">
        <w:tc>
          <w:tcPr>
            <w:tcW w:w="2376" w:type="dxa"/>
            <w:tcBorders>
              <w:top w:val="single" w:sz="4" w:space="0" w:color="000000"/>
              <w:left w:val="single" w:sz="4" w:space="0" w:color="000000"/>
              <w:bottom w:val="single" w:sz="4" w:space="0" w:color="000000"/>
              <w:right w:val="single" w:sz="4" w:space="0" w:color="000000"/>
            </w:tcBorders>
          </w:tcPr>
          <w:p w14:paraId="7EC8EC61" w14:textId="77777777" w:rsidR="00C87C80" w:rsidRDefault="00C87C80">
            <w:pPr>
              <w:jc w:val="both"/>
              <w:rPr>
                <w:sz w:val="14"/>
                <w:szCs w:val="14"/>
              </w:rPr>
            </w:pPr>
            <w:r>
              <w:rPr>
                <w:sz w:val="14"/>
                <w:szCs w:val="14"/>
              </w:rPr>
              <w:t>Auxiliar no processo de elaboração do currículo e das aulas, incluindo a elaboração ou expansão de pontos de vista sobre as principais áreas do tema em questão e a definição da estrutura do currículo. Também pode ajudar os professores a preparar provas e exames, oferecendo exemplos de perguntas e critérios para avaliação</w:t>
            </w:r>
          </w:p>
          <w:p w14:paraId="7D214822" w14:textId="77777777" w:rsidR="00C87C80" w:rsidRDefault="00C87C80">
            <w:pPr>
              <w:jc w:val="both"/>
              <w:rPr>
                <w:sz w:val="14"/>
                <w:szCs w:val="14"/>
              </w:rPr>
            </w:pPr>
          </w:p>
        </w:tc>
        <w:tc>
          <w:tcPr>
            <w:tcW w:w="2410" w:type="dxa"/>
            <w:tcBorders>
              <w:top w:val="single" w:sz="4" w:space="0" w:color="000000"/>
              <w:left w:val="single" w:sz="4" w:space="0" w:color="000000"/>
              <w:bottom w:val="single" w:sz="4" w:space="0" w:color="000000"/>
              <w:right w:val="single" w:sz="4" w:space="0" w:color="000000"/>
            </w:tcBorders>
          </w:tcPr>
          <w:p w14:paraId="00D94D25" w14:textId="77777777" w:rsidR="00C87C80" w:rsidRDefault="00C87C80">
            <w:pPr>
              <w:jc w:val="both"/>
              <w:rPr>
                <w:sz w:val="14"/>
                <w:szCs w:val="14"/>
              </w:rPr>
            </w:pPr>
            <w:r>
              <w:rPr>
                <w:sz w:val="14"/>
                <w:szCs w:val="14"/>
              </w:rPr>
              <w:t>Os professores precisam compreender e especificar cuidadosamente o que desejam que o currículo, os cursos, as aulas ou as avaliações abranjam e alcancem, se desejam abordar conhecimentos procedimentais ou conceituais e qual teoria de ensino desejam aplicar</w:t>
            </w:r>
          </w:p>
          <w:p w14:paraId="2B71439C" w14:textId="77777777" w:rsidR="00C87C80" w:rsidRDefault="00C87C80">
            <w:pPr>
              <w:jc w:val="both"/>
              <w:rPr>
                <w:sz w:val="14"/>
                <w:szCs w:val="14"/>
              </w:rPr>
            </w:pPr>
          </w:p>
        </w:tc>
        <w:tc>
          <w:tcPr>
            <w:tcW w:w="2269" w:type="dxa"/>
            <w:tcBorders>
              <w:top w:val="single" w:sz="4" w:space="0" w:color="000000"/>
              <w:left w:val="single" w:sz="4" w:space="0" w:color="000000"/>
              <w:bottom w:val="single" w:sz="4" w:space="0" w:color="000000"/>
              <w:right w:val="single" w:sz="4" w:space="0" w:color="auto"/>
            </w:tcBorders>
          </w:tcPr>
          <w:p w14:paraId="333B6FDF" w14:textId="77777777" w:rsidR="00C87C80" w:rsidRDefault="00C87C80">
            <w:pPr>
              <w:jc w:val="both"/>
              <w:rPr>
                <w:sz w:val="14"/>
                <w:szCs w:val="14"/>
              </w:rPr>
            </w:pPr>
            <w:r>
              <w:rPr>
                <w:sz w:val="14"/>
                <w:szCs w:val="14"/>
              </w:rPr>
              <w:t>O risco de a IA impor normas e métodos pedagógicos dominantes é elevado. Ela pode inadvertidamente perpetuar práticas excludentes em favor dos grupos que já são ricos em dados e reforçar desigualdades no acesso a oportunidades educacionais relevantes e de alta qualidade, prejudicando grupos com pobreza de dados.</w:t>
            </w:r>
          </w:p>
          <w:p w14:paraId="0A3F85D6" w14:textId="77777777" w:rsidR="00C87C80" w:rsidRDefault="00C87C80">
            <w:pPr>
              <w:jc w:val="both"/>
              <w:rPr>
                <w:sz w:val="14"/>
                <w:szCs w:val="14"/>
              </w:rPr>
            </w:pPr>
          </w:p>
        </w:tc>
        <w:tc>
          <w:tcPr>
            <w:tcW w:w="2232" w:type="dxa"/>
            <w:tcBorders>
              <w:top w:val="single" w:sz="4" w:space="0" w:color="000000"/>
              <w:left w:val="single" w:sz="4" w:space="0" w:color="auto"/>
              <w:bottom w:val="single" w:sz="4" w:space="0" w:color="000000"/>
              <w:right w:val="single" w:sz="4" w:space="0" w:color="000000"/>
            </w:tcBorders>
            <w:hideMark/>
          </w:tcPr>
          <w:p w14:paraId="41FE06F8" w14:textId="77777777" w:rsidR="00C87C80" w:rsidRDefault="00C87C80">
            <w:pPr>
              <w:jc w:val="both"/>
              <w:rPr>
                <w:sz w:val="14"/>
                <w:szCs w:val="14"/>
              </w:rPr>
            </w:pPr>
            <w:r>
              <w:rPr>
                <w:sz w:val="14"/>
                <w:szCs w:val="14"/>
              </w:rPr>
              <w:t>Ideias básicas para a definição de problemas de pesquisa (por exemplo, público-alvo, temas, contexto), bem como metodologias, resultados esperados e formatos. Definições progressivas dos problemas; alcance dos dados e fontes bibliográficas; metodologias utilizadas para a exploração dos dados e revisões da literatura; e resultados esperados e seus formatos</w:t>
            </w:r>
          </w:p>
        </w:tc>
      </w:tr>
      <w:tr w:rsidR="00C87C80" w14:paraId="671A5FF7" w14:textId="77777777" w:rsidTr="00C87C80">
        <w:tc>
          <w:tcPr>
            <w:tcW w:w="2376" w:type="dxa"/>
            <w:tcBorders>
              <w:top w:val="single" w:sz="4" w:space="0" w:color="000000"/>
              <w:left w:val="single" w:sz="4" w:space="0" w:color="000000"/>
              <w:bottom w:val="single" w:sz="4" w:space="0" w:color="000000"/>
              <w:right w:val="single" w:sz="4" w:space="0" w:color="000000"/>
            </w:tcBorders>
            <w:hideMark/>
          </w:tcPr>
          <w:p w14:paraId="3F8A2A21" w14:textId="77777777" w:rsidR="00C87C80" w:rsidRDefault="00C87C80">
            <w:pPr>
              <w:jc w:val="both"/>
              <w:rPr>
                <w:sz w:val="14"/>
                <w:szCs w:val="14"/>
              </w:rPr>
            </w:pPr>
            <w:r>
              <w:rPr>
                <w:sz w:val="14"/>
                <w:szCs w:val="14"/>
              </w:rPr>
              <w:t>Fornece suporte individualizado, responder perguntas e identificar recursos. Apoiar a aprendizagem autodirigida de conhecimentos e habilidades básicas de codificação, identificar erros no código dos estudantes e fornecer feedback imediato, e adaptar respostas a perguntas. Envolver os estudantes em um diálogo reminiscente do questionamento Socrático do conhecimento prévio, levando à descoberta de novos conhecimentos ou à uma compreensão mais profunda.</w:t>
            </w:r>
          </w:p>
        </w:tc>
        <w:tc>
          <w:tcPr>
            <w:tcW w:w="2410" w:type="dxa"/>
            <w:tcBorders>
              <w:top w:val="single" w:sz="4" w:space="0" w:color="000000"/>
              <w:left w:val="single" w:sz="4" w:space="0" w:color="000000"/>
              <w:bottom w:val="single" w:sz="4" w:space="0" w:color="000000"/>
              <w:right w:val="single" w:sz="4" w:space="0" w:color="000000"/>
            </w:tcBorders>
            <w:hideMark/>
          </w:tcPr>
          <w:p w14:paraId="327F195E" w14:textId="77777777" w:rsidR="00C87C80" w:rsidRDefault="00C87C80">
            <w:pPr>
              <w:jc w:val="both"/>
              <w:rPr>
                <w:sz w:val="14"/>
                <w:szCs w:val="14"/>
              </w:rPr>
            </w:pPr>
            <w:r>
              <w:rPr>
                <w:sz w:val="14"/>
                <w:szCs w:val="14"/>
              </w:rPr>
              <w:t>Ele oferece suporte aos professores, mas direciona-se diretamente aos estudantes, o que exige que eles tenham conhecimentos prévios, capacidades e habilidades metacognitivas suficientes para verificar os resultados da IA e perceber caso haja desinformações. Portanto, pode ser mais apropriado para os estudantes de ensino superior.</w:t>
            </w:r>
          </w:p>
        </w:tc>
        <w:tc>
          <w:tcPr>
            <w:tcW w:w="2269" w:type="dxa"/>
            <w:tcBorders>
              <w:top w:val="single" w:sz="4" w:space="0" w:color="000000"/>
              <w:left w:val="single" w:sz="4" w:space="0" w:color="000000"/>
              <w:bottom w:val="single" w:sz="4" w:space="0" w:color="000000"/>
              <w:right w:val="single" w:sz="4" w:space="0" w:color="auto"/>
            </w:tcBorders>
            <w:hideMark/>
          </w:tcPr>
          <w:p w14:paraId="50FCFBC5" w14:textId="77777777" w:rsidR="00C87C80" w:rsidRDefault="00C87C80">
            <w:pPr>
              <w:jc w:val="both"/>
              <w:rPr>
                <w:sz w:val="14"/>
                <w:szCs w:val="14"/>
              </w:rPr>
            </w:pPr>
            <w:r>
              <w:rPr>
                <w:sz w:val="14"/>
                <w:szCs w:val="14"/>
              </w:rPr>
              <w:t>Com base nas capacidades atuais dos modelos de IA, as instituições educacionais precisam garantir a supervisão humana das respostas fornecidas pelas ferramentas, estando atentas ao risco de desinformação. Isso também pode limitar o acesso dos estudantes à orientação e ao apoio humanos, prejudicando o desenvolvimento de uma estreita relação entre professor e estudante, o que é especialmente preocupante no caso das crianças.</w:t>
            </w:r>
          </w:p>
        </w:tc>
        <w:tc>
          <w:tcPr>
            <w:tcW w:w="2232" w:type="dxa"/>
            <w:tcBorders>
              <w:top w:val="single" w:sz="4" w:space="0" w:color="000000"/>
              <w:left w:val="single" w:sz="4" w:space="0" w:color="auto"/>
              <w:bottom w:val="single" w:sz="4" w:space="0" w:color="000000"/>
              <w:right w:val="single" w:sz="4" w:space="0" w:color="000000"/>
            </w:tcBorders>
            <w:hideMark/>
          </w:tcPr>
          <w:p w14:paraId="14539F7E" w14:textId="77777777" w:rsidR="00C87C80" w:rsidRDefault="00C87C80">
            <w:pPr>
              <w:jc w:val="both"/>
              <w:rPr>
                <w:sz w:val="14"/>
                <w:szCs w:val="14"/>
              </w:rPr>
            </w:pPr>
            <w:r>
              <w:rPr>
                <w:sz w:val="14"/>
                <w:szCs w:val="14"/>
              </w:rPr>
              <w:t>Perguntas à IA sobre sugestões de estrutura e exemplos de conhecimento factual sobre temas, sugestões de métodos e processos de ensino para temas ou problemas, ou criação de conjuntos de cursos ou planos de aula com base em temas e formatos. Os criadores humanos de currículos precisam verificar os conhecimentos factuais e avaliar a adequação dos conjuntos de cursos sugeridos.</w:t>
            </w:r>
          </w:p>
        </w:tc>
      </w:tr>
      <w:tr w:rsidR="00C87C80" w14:paraId="03B8B626" w14:textId="77777777" w:rsidTr="00C87C80">
        <w:tc>
          <w:tcPr>
            <w:tcW w:w="2376" w:type="dxa"/>
            <w:tcBorders>
              <w:top w:val="single" w:sz="4" w:space="0" w:color="000000"/>
              <w:left w:val="single" w:sz="4" w:space="0" w:color="000000"/>
              <w:bottom w:val="single" w:sz="4" w:space="0" w:color="000000"/>
              <w:right w:val="single" w:sz="4" w:space="0" w:color="000000"/>
            </w:tcBorders>
            <w:hideMark/>
          </w:tcPr>
          <w:p w14:paraId="79E07399" w14:textId="77777777" w:rsidR="00C87C80" w:rsidRDefault="00C87C80">
            <w:pPr>
              <w:jc w:val="both"/>
              <w:rPr>
                <w:sz w:val="14"/>
                <w:szCs w:val="14"/>
              </w:rPr>
            </w:pPr>
            <w:r>
              <w:rPr>
                <w:sz w:val="14"/>
                <w:szCs w:val="14"/>
              </w:rPr>
              <w:t>Engajar os estudantes na prática de conversação para ajudá-los a aprimorar as habilidades para ouvir, falar e escrever, oferecendo feedback, correções e modelos da língua materna ou de línguas estrangeiras. Auxiliar os estudantes a melhorarem suas habilidades de escritas. Usar a linguagem natural para identificar as necessidades de estudantes que têm problemas psicológicos, sociais ou emocionais ou dificuldades de aprendizagem, a fim de fornecer a eles suporte ou instrução</w:t>
            </w:r>
          </w:p>
          <w:p w14:paraId="32BFB1DD" w14:textId="77777777" w:rsidR="00C87C80" w:rsidRDefault="00C87C80">
            <w:pPr>
              <w:jc w:val="both"/>
              <w:rPr>
                <w:sz w:val="14"/>
                <w:szCs w:val="14"/>
              </w:rPr>
            </w:pPr>
            <w:r>
              <w:rPr>
                <w:sz w:val="14"/>
                <w:szCs w:val="14"/>
              </w:rPr>
              <w:t>adequados.</w:t>
            </w:r>
          </w:p>
        </w:tc>
        <w:tc>
          <w:tcPr>
            <w:tcW w:w="2410" w:type="dxa"/>
            <w:tcBorders>
              <w:top w:val="single" w:sz="4" w:space="0" w:color="000000"/>
              <w:left w:val="single" w:sz="4" w:space="0" w:color="000000"/>
              <w:bottom w:val="single" w:sz="4" w:space="0" w:color="000000"/>
              <w:right w:val="single" w:sz="4" w:space="0" w:color="000000"/>
            </w:tcBorders>
            <w:hideMark/>
          </w:tcPr>
          <w:p w14:paraId="7F1739BB" w14:textId="77777777" w:rsidR="00C87C80" w:rsidRDefault="00C87C80">
            <w:pPr>
              <w:jc w:val="both"/>
              <w:rPr>
                <w:sz w:val="14"/>
                <w:szCs w:val="14"/>
              </w:rPr>
            </w:pPr>
            <w:r>
              <w:rPr>
                <w:sz w:val="14"/>
                <w:szCs w:val="14"/>
              </w:rPr>
              <w:t>Pode ser estabelecida uma idade limite para as conversas independentes, considerando a possibilidade de os sistemas de IA gerarem resultados culturalmente insensíveis ou inadequados para a idade. O estudante deve ter uma motivação intrínseca inicial para iniciar uma conversa com um sistema de IA. O estudante deve ser capaz de adotar uma abordagem crítica às sugestões da IA e de verificar sua precisão.</w:t>
            </w:r>
          </w:p>
        </w:tc>
        <w:tc>
          <w:tcPr>
            <w:tcW w:w="2269" w:type="dxa"/>
            <w:tcBorders>
              <w:top w:val="single" w:sz="4" w:space="0" w:color="000000"/>
              <w:left w:val="single" w:sz="4" w:space="0" w:color="000000"/>
              <w:bottom w:val="single" w:sz="4" w:space="0" w:color="000000"/>
              <w:right w:val="single" w:sz="4" w:space="0" w:color="auto"/>
            </w:tcBorders>
            <w:hideMark/>
          </w:tcPr>
          <w:p w14:paraId="390EC1F5" w14:textId="77777777" w:rsidR="00C87C80" w:rsidRDefault="00C87C80">
            <w:pPr>
              <w:jc w:val="both"/>
              <w:rPr>
                <w:sz w:val="14"/>
                <w:szCs w:val="14"/>
              </w:rPr>
            </w:pPr>
            <w:r>
              <w:rPr>
                <w:sz w:val="14"/>
                <w:szCs w:val="14"/>
              </w:rPr>
              <w:t>É preciso estar atento à linguagem culturalmente insensível ou contextualmente imprecisa, bem como à inadvertida perpetuação de estereótipos ou preconceitos culturais. Sem estratégias pedagógicas adequadas que simulem as motivações intrínsecas dos estudantes, a criatividade e a originalidade das crianças podem acabar sendo limitadas, levando a uma escrita formulista. Isso também pode limitar as oportunidades de interações na vida real, as opiniões e expressões plurais e o pensamento crítico.</w:t>
            </w:r>
          </w:p>
        </w:tc>
        <w:tc>
          <w:tcPr>
            <w:tcW w:w="2232" w:type="dxa"/>
            <w:tcBorders>
              <w:top w:val="single" w:sz="4" w:space="0" w:color="000000"/>
              <w:left w:val="single" w:sz="4" w:space="0" w:color="auto"/>
              <w:bottom w:val="single" w:sz="4" w:space="0" w:color="000000"/>
              <w:right w:val="single" w:sz="4" w:space="0" w:color="000000"/>
            </w:tcBorders>
            <w:hideMark/>
          </w:tcPr>
          <w:p w14:paraId="063393C6" w14:textId="77777777" w:rsidR="00C87C80" w:rsidRDefault="00C87C80">
            <w:pPr>
              <w:jc w:val="both"/>
              <w:rPr>
                <w:sz w:val="14"/>
                <w:szCs w:val="14"/>
              </w:rPr>
            </w:pPr>
            <w:r>
              <w:rPr>
                <w:sz w:val="14"/>
                <w:szCs w:val="14"/>
              </w:rPr>
              <w:t>Professores e orientadores humanos devem ensinar conhecimentos e habilidades básicas, além de inspirar os estudantes a aplicar o pensamento computacional e a programação para resolver problemas, inclusive por meio de codificação colaborativa. Professores ou facilitadores precisam criar ambientes confortáveis para envolver o estudante em uma conversa, a fim de diagnosticar problemas psicológicos, sociais, emocionais ou dificuldades de aprendizado.</w:t>
            </w:r>
          </w:p>
        </w:tc>
      </w:tr>
      <w:tr w:rsidR="00C87C80" w14:paraId="6908F79F" w14:textId="77777777" w:rsidTr="00C87C80">
        <w:tc>
          <w:tcPr>
            <w:tcW w:w="2376" w:type="dxa"/>
            <w:tcBorders>
              <w:top w:val="single" w:sz="4" w:space="0" w:color="000000"/>
              <w:left w:val="single" w:sz="4" w:space="0" w:color="000000"/>
              <w:bottom w:val="single" w:sz="4" w:space="0" w:color="000000"/>
              <w:right w:val="single" w:sz="4" w:space="0" w:color="000000"/>
            </w:tcBorders>
            <w:hideMark/>
          </w:tcPr>
          <w:p w14:paraId="60309184" w14:textId="77777777" w:rsidR="00C87C80" w:rsidRDefault="00C87C80">
            <w:pPr>
              <w:jc w:val="both"/>
              <w:rPr>
                <w:sz w:val="14"/>
                <w:szCs w:val="14"/>
              </w:rPr>
            </w:pPr>
            <w:r>
              <w:rPr>
                <w:sz w:val="14"/>
                <w:szCs w:val="14"/>
              </w:rPr>
              <w:t>Fornece sugestões de técnicas de arte (por exemplo, dicas sobre perspectiva e cor) ou de composição musical (por exemplo, melodia e progressão de acordes). Atender às necessidades de acesso dos estudantes e apoiar a aquisição de conhecimentos específicos das disciplinas, fornecendo legendas ou interpretação em linguagem de sinais por IA para conteúdo de áudio ou vídeo e descrições de áudio para textos ou outros materiais visuais.</w:t>
            </w:r>
          </w:p>
        </w:tc>
        <w:tc>
          <w:tcPr>
            <w:tcW w:w="2410" w:type="dxa"/>
            <w:tcBorders>
              <w:top w:val="single" w:sz="4" w:space="0" w:color="000000"/>
              <w:left w:val="single" w:sz="4" w:space="0" w:color="000000"/>
              <w:bottom w:val="single" w:sz="4" w:space="0" w:color="000000"/>
              <w:right w:val="single" w:sz="4" w:space="0" w:color="000000"/>
            </w:tcBorders>
          </w:tcPr>
          <w:p w14:paraId="424B5A42" w14:textId="77777777" w:rsidR="00C87C80" w:rsidRDefault="00C87C80">
            <w:pPr>
              <w:jc w:val="both"/>
              <w:rPr>
                <w:sz w:val="14"/>
                <w:szCs w:val="14"/>
              </w:rPr>
            </w:pPr>
            <w:r>
              <w:rPr>
                <w:sz w:val="14"/>
                <w:szCs w:val="14"/>
              </w:rPr>
              <w:t>Os estudantes devem ter objetivos iniciais para criar uma arte ou música, uma compreensão fundamental dos elementos-chave do domínio da arte ou da música e habilidades básicas para analisar as obras de arte ou composições musicais. Os estudantes devem ter conhecimento ou opiniões substanciais sobre o tema da conversa ou estudo colaborativo. Eles precisam ser capazes de fazer contribuições responsáveis e não discriminatórias, evitando discursos de ódio</w:t>
            </w:r>
          </w:p>
          <w:p w14:paraId="5FD25FA1" w14:textId="77777777" w:rsidR="00C87C80" w:rsidRDefault="00C87C80">
            <w:pPr>
              <w:jc w:val="both"/>
              <w:rPr>
                <w:sz w:val="14"/>
                <w:szCs w:val="14"/>
              </w:rPr>
            </w:pPr>
          </w:p>
        </w:tc>
        <w:tc>
          <w:tcPr>
            <w:tcW w:w="2269" w:type="dxa"/>
            <w:tcBorders>
              <w:top w:val="single" w:sz="4" w:space="0" w:color="000000"/>
              <w:left w:val="single" w:sz="4" w:space="0" w:color="000000"/>
              <w:bottom w:val="single" w:sz="4" w:space="0" w:color="000000"/>
              <w:right w:val="single" w:sz="4" w:space="0" w:color="auto"/>
            </w:tcBorders>
          </w:tcPr>
          <w:p w14:paraId="24AB9289" w14:textId="77777777" w:rsidR="00C87C80" w:rsidRDefault="00C87C80">
            <w:pPr>
              <w:jc w:val="both"/>
              <w:rPr>
                <w:sz w:val="14"/>
                <w:szCs w:val="14"/>
              </w:rPr>
            </w:pPr>
            <w:r>
              <w:rPr>
                <w:sz w:val="14"/>
                <w:szCs w:val="14"/>
              </w:rPr>
              <w:t>ode expor as crianças a conteúdos inadequados ou ofensivos, o que pode violar seu direito à proteção e ao bem-estar. As ferramentas de IA aumentam o risco de impedir que os estudantes desenvolvam sua imaginação e criatividade. Pode diagnosticar inadvertidamente de maneira incorreta as dificuldades específicas do estudante, levando ao fornecimento de suporte inadequado.</w:t>
            </w:r>
          </w:p>
          <w:p w14:paraId="65214C96" w14:textId="77777777" w:rsidR="00C87C80" w:rsidRDefault="00C87C80">
            <w:pPr>
              <w:jc w:val="both"/>
              <w:rPr>
                <w:sz w:val="14"/>
                <w:szCs w:val="14"/>
              </w:rPr>
            </w:pPr>
          </w:p>
        </w:tc>
        <w:tc>
          <w:tcPr>
            <w:tcW w:w="2232" w:type="dxa"/>
            <w:tcBorders>
              <w:top w:val="single" w:sz="4" w:space="0" w:color="000000"/>
              <w:left w:val="single" w:sz="4" w:space="0" w:color="auto"/>
              <w:bottom w:val="single" w:sz="4" w:space="0" w:color="000000"/>
              <w:right w:val="single" w:sz="4" w:space="0" w:color="000000"/>
            </w:tcBorders>
            <w:hideMark/>
          </w:tcPr>
          <w:p w14:paraId="498406E2" w14:textId="77777777" w:rsidR="00C87C80" w:rsidRDefault="00C87C80">
            <w:pPr>
              <w:jc w:val="both"/>
              <w:rPr>
                <w:sz w:val="14"/>
                <w:szCs w:val="14"/>
              </w:rPr>
            </w:pPr>
            <w:r>
              <w:rPr>
                <w:sz w:val="14"/>
                <w:szCs w:val="14"/>
              </w:rPr>
              <w:t>É necessário testara acessibilidade de plataformas ou ferramentas para identificar e corrigir problemas de acessibilidade antes de utilizá-las. As ferramentas de IA podem apenas proporcionar acesso ao conteúdo, então educadores e facilitadores devem focar em aprimorar a qualidade da aprendizagem e o bem-estar social. É preciso que ensinem aos estudantes sobre como criar comandos de voz ou texto de acordo com as suas habilidades.</w:t>
            </w:r>
          </w:p>
        </w:tc>
      </w:tr>
      <w:tr w:rsidR="00C87C80" w14:paraId="5C897F09" w14:textId="77777777" w:rsidTr="00C87C80">
        <w:trPr>
          <w:trHeight w:val="1667"/>
        </w:trPr>
        <w:tc>
          <w:tcPr>
            <w:tcW w:w="2376" w:type="dxa"/>
            <w:tcBorders>
              <w:top w:val="single" w:sz="4" w:space="0" w:color="000000"/>
              <w:left w:val="single" w:sz="4" w:space="0" w:color="000000"/>
              <w:bottom w:val="single" w:sz="4" w:space="0" w:color="000000"/>
              <w:right w:val="single" w:sz="4" w:space="0" w:color="000000"/>
            </w:tcBorders>
            <w:hideMark/>
          </w:tcPr>
          <w:p w14:paraId="181081B4" w14:textId="77777777" w:rsidR="00C87C80" w:rsidRDefault="00C87C80">
            <w:pPr>
              <w:jc w:val="both"/>
              <w:rPr>
                <w:sz w:val="14"/>
                <w:szCs w:val="14"/>
              </w:rPr>
            </w:pPr>
            <w:r>
              <w:rPr>
                <w:sz w:val="14"/>
                <w:szCs w:val="14"/>
              </w:rPr>
              <w:t>Apoiar a aprendizagem autodirigida de conhecimentos e habilidades básicas de codificação, identificar erros no código dos estudantes e fornecer feedback imediato, e adaptar respostas a perguntas. Envolver os estudantes em um diálogo reminiscente do questionamento Socrático do conhecimento prévio, levando à descoberta de novos conhecimentos ou à uma compreensão mais profunda.</w:t>
            </w:r>
          </w:p>
        </w:tc>
        <w:tc>
          <w:tcPr>
            <w:tcW w:w="2410" w:type="dxa"/>
            <w:tcBorders>
              <w:top w:val="single" w:sz="4" w:space="0" w:color="000000"/>
              <w:left w:val="single" w:sz="4" w:space="0" w:color="000000"/>
              <w:bottom w:val="single" w:sz="4" w:space="0" w:color="000000"/>
              <w:right w:val="single" w:sz="4" w:space="0" w:color="000000"/>
            </w:tcBorders>
            <w:hideMark/>
          </w:tcPr>
          <w:p w14:paraId="4C4CA24B" w14:textId="77777777" w:rsidR="00C87C80" w:rsidRDefault="00C87C80">
            <w:pPr>
              <w:jc w:val="both"/>
              <w:rPr>
                <w:sz w:val="14"/>
                <w:szCs w:val="14"/>
              </w:rPr>
            </w:pPr>
            <w:r>
              <w:rPr>
                <w:sz w:val="14"/>
                <w:szCs w:val="14"/>
              </w:rPr>
              <w:t>Os educadores ou facilitadores devem ajudar os estudantes a acessar e aprender a operar as ferramentas de IA. Eles também precisam garantir que os resultados das ferramentas realmente apoiem esses estudantes e não reforcem os desafios e preconceitos que eles enfrentam.</w:t>
            </w:r>
          </w:p>
        </w:tc>
        <w:tc>
          <w:tcPr>
            <w:tcW w:w="2269" w:type="dxa"/>
            <w:tcBorders>
              <w:top w:val="single" w:sz="4" w:space="0" w:color="000000"/>
              <w:left w:val="single" w:sz="4" w:space="0" w:color="000000"/>
              <w:bottom w:val="single" w:sz="4" w:space="0" w:color="000000"/>
              <w:right w:val="single" w:sz="4" w:space="0" w:color="auto"/>
            </w:tcBorders>
            <w:hideMark/>
          </w:tcPr>
          <w:p w14:paraId="32FAF129" w14:textId="77777777" w:rsidR="00C87C80" w:rsidRDefault="00C87C80">
            <w:pPr>
              <w:jc w:val="both"/>
              <w:rPr>
                <w:sz w:val="14"/>
                <w:szCs w:val="14"/>
              </w:rPr>
            </w:pPr>
            <w:r>
              <w:rPr>
                <w:sz w:val="14"/>
                <w:szCs w:val="14"/>
              </w:rPr>
              <w:t>É preciso identificar e corrigir os erros nas traduções e parafrasear feitos por IA que possam causar mal-entendidos interculturais. Este uso pode proporcionar oportunidades para que os estudantes marginalizados ampliem suas vozes, mas não afetará a causa raiz da pobreza de dados e, portanto, não será capaz de descolonizar as ferramentas de IA.</w:t>
            </w:r>
          </w:p>
        </w:tc>
        <w:tc>
          <w:tcPr>
            <w:tcW w:w="2232" w:type="dxa"/>
            <w:tcBorders>
              <w:top w:val="single" w:sz="4" w:space="0" w:color="000000"/>
              <w:left w:val="single" w:sz="4" w:space="0" w:color="auto"/>
              <w:bottom w:val="single" w:sz="4" w:space="0" w:color="000000"/>
              <w:right w:val="single" w:sz="4" w:space="0" w:color="000000"/>
            </w:tcBorders>
            <w:hideMark/>
          </w:tcPr>
          <w:p w14:paraId="60028A88" w14:textId="77777777" w:rsidR="00C87C80" w:rsidRDefault="00C87C80">
            <w:pPr>
              <w:jc w:val="both"/>
              <w:rPr>
                <w:sz w:val="14"/>
                <w:szCs w:val="14"/>
              </w:rPr>
            </w:pPr>
            <w:r>
              <w:rPr>
                <w:sz w:val="14"/>
                <w:szCs w:val="14"/>
              </w:rPr>
              <w:t>É necessário testar a acessibilidade de plataformas ou ferramentas para identificar e corrigir problemas de acessibilidade antes de utilizá-las. As ferramentas de IA podem apenas proporcionar acesso ao conteúdo, então educadores e facilitadores devem focar em aprimorar a qualidade da aprendizagem e o bem-estar social. É preciso que ensinem aos estudantes sobre como criar comandos de voz ou texto de acordo com as suas habilidades.</w:t>
            </w:r>
          </w:p>
        </w:tc>
      </w:tr>
    </w:tbl>
    <w:p w14:paraId="21DB713C" w14:textId="77777777" w:rsidR="00C87C80" w:rsidRDefault="00C87C80" w:rsidP="00C87C80">
      <w:pPr>
        <w:jc w:val="center"/>
        <w:rPr>
          <w:rFonts w:ascii="Times New Roman" w:eastAsia="SimSun" w:hAnsi="Times New Roman" w:cs="Times New Roman"/>
        </w:rPr>
      </w:pPr>
      <w:r>
        <w:rPr>
          <w:rFonts w:ascii="Times New Roman" w:eastAsia="SimSun" w:hAnsi="Times New Roman" w:cs="Times New Roman"/>
        </w:rPr>
        <w:t xml:space="preserve">Fonte: </w:t>
      </w:r>
      <w:r>
        <w:rPr>
          <w:rFonts w:ascii="Times New Roman" w:eastAsia="SimSun" w:hAnsi="Times New Roman" w:cs="Times New Roman"/>
          <w:b/>
          <w:bCs/>
        </w:rPr>
        <w:t>UNESCO</w:t>
      </w:r>
      <w:r>
        <w:rPr>
          <w:rFonts w:ascii="Times New Roman" w:eastAsia="SimSun" w:hAnsi="Times New Roman" w:cs="Times New Roman"/>
        </w:rPr>
        <w:t>, 2024. Adaptado pelo autor</w:t>
      </w:r>
    </w:p>
    <w:p w14:paraId="7A93D306" w14:textId="77777777" w:rsidR="00C87C80" w:rsidRDefault="00C87C80" w:rsidP="00C87C80">
      <w:pPr>
        <w:jc w:val="both"/>
        <w:rPr>
          <w:rFonts w:ascii="Times New Roman" w:eastAsia="SimSun" w:hAnsi="Times New Roman" w:cs="Times New Roman"/>
          <w:sz w:val="18"/>
          <w:szCs w:val="18"/>
        </w:rPr>
      </w:pPr>
    </w:p>
    <w:p w14:paraId="14139148" w14:textId="77777777" w:rsidR="00C87C80" w:rsidRDefault="00C87C80" w:rsidP="00C87C80">
      <w:pPr>
        <w:jc w:val="both"/>
        <w:rPr>
          <w:rFonts w:ascii="Times New Roman" w:eastAsia="SimSun" w:hAnsi="Times New Roman" w:cs="Times New Roman"/>
          <w:sz w:val="6"/>
          <w:szCs w:val="6"/>
        </w:rPr>
      </w:pPr>
    </w:p>
    <w:p w14:paraId="4DB9339F" w14:textId="77777777" w:rsidR="00C87C80" w:rsidRDefault="00C87C80" w:rsidP="00C87C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bookmarkStart w:id="4" w:name="OLE_LINK4"/>
      <w:r>
        <w:rPr>
          <w:rFonts w:ascii="Times New Roman" w:hAnsi="Times New Roman" w:cs="Times New Roman"/>
          <w:sz w:val="24"/>
          <w:szCs w:val="24"/>
        </w:rPr>
        <w:t xml:space="preserve">A UNESCO (2024) destaca que o uso da Inteligência Artificial (IA) na educação pode gravar as disparidades no acesso à tecnologia e aos recursos pedagógicos, além de limitar a interação social. Ao imitir o contato humano, a IA gera preocupações quanto aos possíveis efeitos psicológicos negativos a longo prazo, impactando o desenvolvimento cognitivo e o bem-estar emocional dos estudantes. </w:t>
      </w:r>
    </w:p>
    <w:p w14:paraId="54FE4B01" w14:textId="77777777" w:rsidR="00C87C80" w:rsidRDefault="00C87C80" w:rsidP="00C87C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dependência de conteúdos gerados por algoritmos pode diminuir o engajamento com materiais tradicionais que passam por revisão de especialista humanos. O uso estratégico de ferramentas digitais é fundamental para o sucesso, aproveitando ao máximo seu potencial para promover um aprendizado profundo que envolva os alunos e possibilite o feedback imediato </w:t>
      </w:r>
      <w:r>
        <w:rPr>
          <w:rFonts w:ascii="Times New Roman" w:eastAsia="SimSun" w:hAnsi="Times New Roman" w:cs="Times New Roman"/>
          <w:sz w:val="24"/>
          <w:szCs w:val="24"/>
        </w:rPr>
        <w:t xml:space="preserve">(Narciso </w:t>
      </w:r>
      <w:r>
        <w:rPr>
          <w:rFonts w:ascii="Times New Roman" w:eastAsia="SimSun" w:hAnsi="Times New Roman" w:cs="Times New Roman"/>
          <w:i/>
          <w:iCs/>
          <w:sz w:val="24"/>
          <w:szCs w:val="24"/>
        </w:rPr>
        <w:t>et al</w:t>
      </w:r>
      <w:r>
        <w:rPr>
          <w:rFonts w:ascii="Times New Roman" w:eastAsia="SimSun" w:hAnsi="Times New Roman" w:cs="Times New Roman"/>
          <w:sz w:val="24"/>
          <w:szCs w:val="24"/>
        </w:rPr>
        <w:t>., 2024).  A integração tecnológica na formação continuada é fundamental para o crescimento profissional dos docentes, capacitando-os a utilizar metodologias inovadoras</w:t>
      </w:r>
      <w:bookmarkStart w:id="5" w:name="OLE_LINK5"/>
      <w:r>
        <w:rPr>
          <w:rFonts w:ascii="Times New Roman" w:eastAsia="SimSun" w:hAnsi="Times New Roman" w:cs="Times New Roman"/>
          <w:sz w:val="24"/>
          <w:szCs w:val="24"/>
        </w:rPr>
        <w:t xml:space="preserve"> que “possibilitam a produção e compartilhar conhecimento, visando à aprendizagem colaborativa conecta pessoas, reduzindo distâncias e facilitando a troca de experiências, enriquecendo o processo educativo” (Gebran, 2009.p.14).</w:t>
      </w:r>
      <w:bookmarkEnd w:id="4"/>
      <w:bookmarkEnd w:id="5"/>
    </w:p>
    <w:p w14:paraId="3A9042F3" w14:textId="77777777" w:rsidR="00C87C80" w:rsidRDefault="00C87C80" w:rsidP="00C87C80">
      <w:pPr>
        <w:spacing w:line="360" w:lineRule="auto"/>
        <w:jc w:val="both"/>
        <w:rPr>
          <w:rFonts w:ascii="Times New Roman" w:hAnsi="Times New Roman" w:cs="Times New Roman"/>
          <w:b/>
          <w:sz w:val="24"/>
          <w:szCs w:val="24"/>
        </w:rPr>
      </w:pPr>
    </w:p>
    <w:p w14:paraId="4B653919" w14:textId="77777777" w:rsidR="00C87C80" w:rsidRDefault="00C87C80" w:rsidP="00C87C8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Pr>
          <w:rFonts w:ascii="Times New Roman" w:eastAsia="SimSun" w:hAnsi="Times New Roman" w:cs="Times New Roman"/>
          <w:b/>
          <w:sz w:val="24"/>
          <w:szCs w:val="24"/>
        </w:rPr>
        <w:t>IMPACTO DAS TECNOLOGIAS E DA INOVAÇÃO EDUCACIONAL</w:t>
      </w:r>
    </w:p>
    <w:p w14:paraId="054C3F3D" w14:textId="77777777" w:rsidR="00C87C80" w:rsidRDefault="00C87C80" w:rsidP="00C87C80">
      <w:pPr>
        <w:jc w:val="both"/>
        <w:rPr>
          <w:rFonts w:ascii="Times New Roman" w:eastAsia="SimSun" w:hAnsi="Times New Roman" w:cs="Times New Roman"/>
          <w:b/>
          <w:bCs/>
          <w:sz w:val="16"/>
          <w:szCs w:val="16"/>
        </w:rPr>
      </w:pPr>
    </w:p>
    <w:p w14:paraId="5922C1C1" w14:textId="77777777" w:rsidR="00C87C80" w:rsidRDefault="00C87C80" w:rsidP="00C87C80">
      <w:pPr>
        <w:spacing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rPr>
        <w:t xml:space="preserve">Com base na revisão sistemática de literatura e na análise de conteúdo, identificamos vários resultados relevantes sobre o impacto das tecnologias e da inovação educacional em Moçambique, destaca-se que as tecnologias digitais revolucionam a educação ao facilitar o acesso rápido à informação e permitir a personalização do aprendizado. Segundo Matias (2024), essa dinâmica promove uma formação integral e acessível, impulsionando a construção e a disseminação do conhecimento. </w:t>
      </w:r>
    </w:p>
    <w:p w14:paraId="256FE49A"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As tecnologias exercem forte influência na percepção social, pois, como afirmam Oliveira </w:t>
      </w:r>
      <w:r>
        <w:rPr>
          <w:rFonts w:ascii="Times New Roman" w:eastAsia="SimSun" w:hAnsi="Times New Roman" w:cs="Times New Roman"/>
          <w:i/>
          <w:sz w:val="24"/>
          <w:szCs w:val="24"/>
        </w:rPr>
        <w:t>et al</w:t>
      </w:r>
      <w:r>
        <w:rPr>
          <w:rFonts w:ascii="Times New Roman" w:eastAsia="SimSun" w:hAnsi="Times New Roman" w:cs="Times New Roman"/>
          <w:sz w:val="24"/>
          <w:szCs w:val="24"/>
        </w:rPr>
        <w:t xml:space="preserve">. (2024, p.2), “as mídias são grandes vetores na produção, disseminação e manutenção de discursos, saberes e verdades sobre a tecnologia e a inovação”. Embora o avanço tecnológico crie cenários promissores para a democratização da aprendizagem, especialmente para populações marginalizadas. Afinal, “o uso recorrente da tecnologia nos diferentes espaços sociais faz com aquela e a inovação sejam consideradas partes necessárias e indispensáveis ao funcionamento social” (Oliveira </w:t>
      </w:r>
      <w:r>
        <w:rPr>
          <w:rFonts w:ascii="Times New Roman" w:eastAsia="SimSun" w:hAnsi="Times New Roman" w:cs="Times New Roman"/>
          <w:i/>
          <w:iCs/>
          <w:sz w:val="24"/>
          <w:szCs w:val="24"/>
        </w:rPr>
        <w:t>et al</w:t>
      </w:r>
      <w:r>
        <w:rPr>
          <w:rFonts w:ascii="Times New Roman" w:eastAsia="SimSun" w:hAnsi="Times New Roman" w:cs="Times New Roman"/>
          <w:sz w:val="24"/>
          <w:szCs w:val="24"/>
        </w:rPr>
        <w:t xml:space="preserve">., 2024.p.2). </w:t>
      </w:r>
    </w:p>
    <w:p w14:paraId="50A1B977"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Em relação aos dados empíricos, os docentes entrevistados afirmam que as tecnologias têm sido empregadas para modernizar o ensino, embora enfatizem que essa inovação digital e a equidade entre áreas rurais e urbanas ainda são desafio a ser superado. No dia-a-dia escolar, a tecnologia se apresenta por meio de aulas online como recurso que tornam os alunos mais interativos. Ademais, o suporte tecnológico é utilizado tanto na gestão pedagógica — como na elaboração de provas, lançamento de notas e analise de desempenho — e no uso de recursos audiovisual slides em sala de aula, conferindo maior dinamismo e envolvimento ao processo de ensino-aprendizagem.</w:t>
      </w:r>
    </w:p>
    <w:p w14:paraId="6754FC0B" w14:textId="77777777" w:rsidR="00C87C80" w:rsidRDefault="00C87C80" w:rsidP="00C87C80">
      <w:pPr>
        <w:ind w:firstLine="799"/>
        <w:jc w:val="both"/>
        <w:rPr>
          <w:rFonts w:ascii="Times New Roman" w:eastAsia="SimSun" w:hAnsi="Times New Roman" w:cs="Times New Roman"/>
          <w:sz w:val="10"/>
          <w:szCs w:val="10"/>
        </w:rPr>
      </w:pPr>
    </w:p>
    <w:p w14:paraId="42562ED4" w14:textId="77777777" w:rsidR="00C87C80" w:rsidRDefault="00C87C80" w:rsidP="00C87C80">
      <w:pPr>
        <w:ind w:left="2268"/>
        <w:jc w:val="both"/>
        <w:rPr>
          <w:rFonts w:ascii="Times New Roman" w:eastAsia="SimSun" w:hAnsi="Times New Roman" w:cs="Times New Roman"/>
        </w:rPr>
      </w:pPr>
      <w:r>
        <w:rPr>
          <w:rFonts w:ascii="Times New Roman" w:eastAsia="SimSun" w:hAnsi="Times New Roman" w:cs="Times New Roman"/>
        </w:rPr>
        <w:t>Embora a inovação tecnológica tenha um grande potencial na educação, a inclusão digital e a qualidade do acesso em regiões rurais são comprometidas pela ausência de dispositivos e a falta de infraestrutura e eletricidade. Mesmo em zonas urbanas, há problemas relacionados às condições precárias das instalações escolares. Nesse contexto, torna-se imperativo expandir o acesso a computadores e à conexão de internet, ações que trariam benefícios tanto para comunidade quanto para as instituições (Agostinho, 2026).</w:t>
      </w:r>
    </w:p>
    <w:p w14:paraId="7F4F4604" w14:textId="77777777" w:rsidR="00C87C80" w:rsidRDefault="00C87C80" w:rsidP="00C87C80">
      <w:pPr>
        <w:ind w:left="2400" w:firstLine="708"/>
        <w:jc w:val="both"/>
        <w:rPr>
          <w:rFonts w:ascii="Times New Roman" w:eastAsia="SimSun" w:hAnsi="Times New Roman" w:cs="Times New Roman"/>
          <w:sz w:val="14"/>
          <w:szCs w:val="14"/>
        </w:rPr>
      </w:pPr>
    </w:p>
    <w:p w14:paraId="1F3E00D7"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O entrevistado Agostinho (2026) enfatiza que o uso de Plataformas possibilita a criação de um ambiente mais dinâmico e engajador. No entanto, o uso excessivo ou inadequado dessas ferramentas, particularmente no que diz respeito à propagação de notícias falsas (</w:t>
      </w:r>
      <w:r>
        <w:rPr>
          <w:rFonts w:ascii="Times New Roman" w:eastAsia="SimSun" w:hAnsi="Times New Roman" w:cs="Times New Roman"/>
          <w:i/>
          <w:iCs/>
          <w:sz w:val="24"/>
          <w:szCs w:val="24"/>
        </w:rPr>
        <w:t>fake news)</w:t>
      </w:r>
      <w:r>
        <w:rPr>
          <w:rFonts w:ascii="Times New Roman" w:eastAsia="SimSun" w:hAnsi="Times New Roman" w:cs="Times New Roman"/>
          <w:sz w:val="24"/>
          <w:szCs w:val="24"/>
        </w:rPr>
        <w:t xml:space="preserve"> pode gerar feitos negativos, como a incentivo ao ódio, </w:t>
      </w:r>
      <w:r>
        <w:rPr>
          <w:rFonts w:ascii="Times New Roman" w:eastAsia="SimSun" w:hAnsi="Times New Roman" w:cs="Times New Roman"/>
          <w:sz w:val="24"/>
          <w:szCs w:val="24"/>
          <w:lang w:val="pt-PT"/>
        </w:rPr>
        <w:t>separatismo e de conflito social</w:t>
      </w:r>
      <w:r>
        <w:rPr>
          <w:rFonts w:ascii="Times New Roman" w:eastAsia="SimSun" w:hAnsi="Times New Roman" w:cs="Times New Roman"/>
          <w:sz w:val="24"/>
          <w:szCs w:val="24"/>
        </w:rPr>
        <w:t>.</w:t>
      </w:r>
    </w:p>
    <w:p w14:paraId="28B2F579" w14:textId="77777777" w:rsidR="00C87C80" w:rsidRDefault="00C87C80" w:rsidP="00C87C80">
      <w:pPr>
        <w:ind w:firstLine="799"/>
        <w:jc w:val="both"/>
        <w:rPr>
          <w:rFonts w:ascii="Times New Roman" w:eastAsia="SimSun" w:hAnsi="Times New Roman" w:cs="Times New Roman"/>
          <w:sz w:val="16"/>
          <w:szCs w:val="16"/>
        </w:rPr>
      </w:pPr>
      <w:r>
        <w:rPr>
          <w:rFonts w:ascii="Times New Roman" w:eastAsia="SimSun" w:hAnsi="Times New Roman" w:cs="Times New Roman"/>
          <w:sz w:val="24"/>
          <w:szCs w:val="24"/>
        </w:rPr>
        <w:t xml:space="preserve"> </w:t>
      </w:r>
    </w:p>
    <w:p w14:paraId="747FF3BA" w14:textId="77777777" w:rsidR="00C87C80" w:rsidRDefault="00C87C80" w:rsidP="00C87C80">
      <w:pPr>
        <w:ind w:left="2268"/>
        <w:jc w:val="both"/>
        <w:rPr>
          <w:rFonts w:ascii="Times New Roman" w:eastAsia="SimSun" w:hAnsi="Times New Roman" w:cs="Times New Roman"/>
        </w:rPr>
      </w:pPr>
      <w:r>
        <w:rPr>
          <w:rFonts w:ascii="Times New Roman" w:eastAsia="SimSun" w:hAnsi="Times New Roman" w:cs="Times New Roman"/>
        </w:rPr>
        <w:t>O uso abusivo das tecnologias resulta em distrações constantes no ambiente escolar, principalmente com redes sociais como Tik Tok, Instagram e Facebook, que prejudica a concentração nas atividades pedagógicas. Esse comportamento se estende à esfera familiar, onde a comunicação se torna menos eficiente, os jovens tendem a priorizar as interações digitais em vez do diálogo com os responsáveis. As tecnologias devem empregadas de forma criteriosa para promover a colaboração entre os atores do sistema educacional, pois seu uso inadequado pode comprometer o desenvolvimento social (Casseremo, 2026).</w:t>
      </w:r>
    </w:p>
    <w:p w14:paraId="6BB61F6D" w14:textId="77777777" w:rsidR="00C87C80" w:rsidRDefault="00C87C80" w:rsidP="00C87C80">
      <w:pPr>
        <w:ind w:left="2400"/>
        <w:jc w:val="both"/>
        <w:rPr>
          <w:rFonts w:ascii="Times New Roman" w:eastAsia="SimSun" w:hAnsi="Times New Roman" w:cs="Times New Roman"/>
          <w:sz w:val="18"/>
          <w:szCs w:val="18"/>
        </w:rPr>
      </w:pPr>
    </w:p>
    <w:p w14:paraId="44E0985A" w14:textId="77777777" w:rsidR="00C87C80" w:rsidRDefault="00C87C80" w:rsidP="00C87C80">
      <w:pPr>
        <w:spacing w:line="360" w:lineRule="auto"/>
        <w:ind w:firstLine="710"/>
        <w:jc w:val="both"/>
        <w:rPr>
          <w:rFonts w:ascii="Times New Roman" w:eastAsia="Segoe UI" w:hAnsi="Times New Roman" w:cs="Times New Roman"/>
          <w:sz w:val="24"/>
          <w:szCs w:val="24"/>
          <w:shd w:val="clear" w:color="auto" w:fill="FFFFFF"/>
        </w:rPr>
      </w:pPr>
      <w:r>
        <w:rPr>
          <w:rFonts w:ascii="Times New Roman" w:eastAsia="Segoe UI" w:hAnsi="Times New Roman" w:cs="Times New Roman"/>
          <w:color w:val="000000"/>
          <w:sz w:val="24"/>
          <w:szCs w:val="24"/>
          <w:shd w:val="clear" w:color="auto" w:fill="FFFFFF"/>
        </w:rPr>
        <w:t xml:space="preserve">Segundo o entrevistado Casseremo (2026) afirma que, para assegura a incorporação sustentável da tecnologia na educação, são necessárias políticas públicas sólidas e investimentos constantes. Isso a capacitação para professores e acesso equitativo, promovendo a inovação educacional. Além disso, é responsabilidade do governo estabelecer diretrizes que promovam melhorias nas escolas, disponibilizando recursos tecnológicos e capacitando educadores para garantir o acesso universal. Nesse contexto, um sistema de financiamento sustentável é crucial para a inclusão digital a longo prazo. </w:t>
      </w:r>
    </w:p>
    <w:p w14:paraId="774182FE" w14:textId="77777777" w:rsidR="00C87C80" w:rsidRDefault="00C87C80" w:rsidP="00C87C80">
      <w:pPr>
        <w:ind w:firstLine="296"/>
        <w:jc w:val="both"/>
        <w:rPr>
          <w:rFonts w:ascii="Times New Roman" w:eastAsia="Segoe UI" w:hAnsi="Times New Roman" w:cs="Times New Roman"/>
          <w:sz w:val="10"/>
          <w:szCs w:val="10"/>
          <w:shd w:val="clear" w:color="auto" w:fill="FFFFFF"/>
        </w:rPr>
      </w:pPr>
    </w:p>
    <w:p w14:paraId="274B435C" w14:textId="77777777" w:rsidR="00C87C80" w:rsidRDefault="00C87C80" w:rsidP="00C87C80">
      <w:pPr>
        <w:ind w:left="2268"/>
        <w:jc w:val="both"/>
        <w:rPr>
          <w:rFonts w:ascii="Times New Roman" w:eastAsia="SimSun" w:hAnsi="Times New Roman" w:cs="Times New Roman"/>
        </w:rPr>
      </w:pPr>
      <w:r>
        <w:rPr>
          <w:rFonts w:ascii="Times New Roman" w:eastAsia="SimSun" w:hAnsi="Times New Roman" w:cs="Times New Roman"/>
        </w:rPr>
        <w:t>O Estado deve promover a formação massiva de novos professores especializados no uso de tecnologias educacionais. Essas tecnologias desafiam as instituições a superar o modelo convencional, em que o professor é o centro da aprendizagem. A utilização de ferramentas digitais permite a manutenção de conexões individuais e coletivas, mesmo em ambientes virtuais (Agostinho, 2026).</w:t>
      </w:r>
    </w:p>
    <w:p w14:paraId="0D63E848" w14:textId="77777777" w:rsidR="00C87C80" w:rsidRDefault="00C87C80" w:rsidP="00C87C80">
      <w:pPr>
        <w:ind w:left="2400"/>
        <w:jc w:val="both"/>
        <w:rPr>
          <w:rFonts w:ascii="Times New Roman" w:eastAsia="SimSun" w:hAnsi="Times New Roman" w:cs="Times New Roman"/>
        </w:rPr>
      </w:pPr>
    </w:p>
    <w:p w14:paraId="4CD2CD0D"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Os principais benefícios e entraves da integração de tecnologias na educação em Moçambique estão relacionados aos aspetos pedagógicos e estruturais que </w:t>
      </w:r>
      <w:r>
        <w:rPr>
          <w:rFonts w:ascii="Times New Roman" w:eastAsia="SimSun" w:hAnsi="Times New Roman" w:cs="Times New Roman"/>
          <w:sz w:val="24"/>
          <w:szCs w:val="24"/>
          <w:lang w:val="pt-PT"/>
        </w:rPr>
        <w:t>tem como objetivo não só elevar a qualidade de ensino, mas também fomentar a inclusão social entre os estudantes</w:t>
      </w:r>
      <w:r>
        <w:rPr>
          <w:rFonts w:ascii="Times New Roman" w:eastAsia="SimSun" w:hAnsi="Times New Roman" w:cs="Times New Roman"/>
          <w:sz w:val="24"/>
          <w:szCs w:val="24"/>
        </w:rPr>
        <w:t>.</w:t>
      </w:r>
    </w:p>
    <w:p w14:paraId="4E113CB8" w14:textId="77777777" w:rsidR="00C87C80" w:rsidRDefault="00C87C80" w:rsidP="00C87C80">
      <w:pPr>
        <w:jc w:val="both"/>
        <w:rPr>
          <w:rFonts w:ascii="Times New Roman" w:eastAsia="SimSun" w:hAnsi="Times New Roman" w:cs="Times New Roman"/>
          <w:sz w:val="10"/>
          <w:szCs w:val="10"/>
        </w:rPr>
      </w:pPr>
    </w:p>
    <w:p w14:paraId="06534640" w14:textId="77777777" w:rsidR="00C87C80" w:rsidRDefault="00C87C80" w:rsidP="00C87C80">
      <w:pPr>
        <w:ind w:left="2268"/>
        <w:jc w:val="both"/>
        <w:rPr>
          <w:rFonts w:ascii="Times New Roman" w:eastAsia="SimSun" w:hAnsi="Times New Roman" w:cs="Times New Roman"/>
        </w:rPr>
      </w:pPr>
      <w:bookmarkStart w:id="6" w:name="OLE_LINK6"/>
      <w:r>
        <w:rPr>
          <w:rFonts w:ascii="Times New Roman" w:eastAsia="SimSun" w:hAnsi="Times New Roman" w:cs="Times New Roman"/>
        </w:rPr>
        <w:t>A integração das TICs na educação exige: capacitação dos docentes, financiamento acessível e acesso equitativo a equipamento. A tecnologia pode agilizar a compreensão de conteúdos em diversas disciplinas, graças ao acesso facilitado às pesquisas</w:t>
      </w:r>
      <w:r>
        <w:rPr>
          <w:rFonts w:ascii="Times New Roman" w:eastAsia="SimSun" w:hAnsi="Times New Roman" w:cs="Times New Roman"/>
          <w:lang w:val="pt-PT"/>
        </w:rPr>
        <w:t>, como acontece com o uso de chatbot IA</w:t>
      </w:r>
      <w:r>
        <w:rPr>
          <w:rFonts w:ascii="Times New Roman" w:eastAsia="SimSun" w:hAnsi="Times New Roman" w:cs="Times New Roman"/>
        </w:rPr>
        <w:t>. Embora ferramentas como Inteligência Artificial ofereça, oportunidades de melhorada entre professor e aluno, além de flexibilidade e personalização do ensino, muitas escolas ainda enfrentam desafios tecnológicos que limitam o alcance dessas vantagens (Casseremo, 2026).</w:t>
      </w:r>
    </w:p>
    <w:p w14:paraId="43BAABD7" w14:textId="77777777" w:rsidR="00C87C80" w:rsidRDefault="00C87C80" w:rsidP="00C87C80">
      <w:pPr>
        <w:ind w:left="2268"/>
        <w:jc w:val="both"/>
        <w:rPr>
          <w:rFonts w:ascii="Times New Roman" w:eastAsia="SimSun" w:hAnsi="Times New Roman" w:cs="Times New Roman"/>
        </w:rPr>
      </w:pPr>
    </w:p>
    <w:p w14:paraId="6B5F1F7C"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Casseremo e Agostinho (2026) enfatizam a importância de capacitar os professores no uso de tecnologia, uma vez que a falta de conhecimento nesse campo impede a transição do ensino tradicional (focado no professor) para modelos mais dinâmicos. A tecnologia possibilita a manutenção de relações pessoais e efetivas a distância, desafiando o formato presencial convencional</w:t>
      </w:r>
      <w:bookmarkEnd w:id="6"/>
      <w:r>
        <w:rPr>
          <w:rFonts w:ascii="Times New Roman" w:eastAsia="SimSun" w:hAnsi="Times New Roman" w:cs="Times New Roman"/>
          <w:sz w:val="24"/>
          <w:szCs w:val="24"/>
        </w:rPr>
        <w:t>. A influência da tecnologia na vida moderna tornou-se fundamental, moldando nossa cultura, relações e educação no dia a dia. Sua essência reside na aplicação pratica da ciência para resolver problemas e suprir necessidades humanas, transformando a forma como vivemos, interagimos e aprendemos.</w:t>
      </w:r>
    </w:p>
    <w:p w14:paraId="3B47C3B8" w14:textId="77777777" w:rsidR="00C87C80" w:rsidRDefault="00C87C80" w:rsidP="00C87C80">
      <w:pPr>
        <w:spacing w:line="360" w:lineRule="auto"/>
        <w:ind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As tecnologias geram novas formas de produzir e compartilhar conhecimento que aproximam pessoas, reduzem esforços, promovem a troca de experencias e enriquecem o processo de aprendizagem. Conforme aponta Greban (2009, p. 15) “para aprender é preciso agir intelectualmente sobre a informação, dá ao educador uma nova concepção na construção de seu conhecimento” Nesse sentido, a educação coloca o aluno como um construtor ativo de seu conhecimento, desenvolvendo seu entendimento por meio da interação com o ambiente de aprendizagem. </w:t>
      </w:r>
    </w:p>
    <w:p w14:paraId="4B2C446F" w14:textId="77777777" w:rsidR="00C87C80" w:rsidRDefault="00C87C80" w:rsidP="00C87C80">
      <w:pPr>
        <w:spacing w:line="360" w:lineRule="auto"/>
        <w:ind w:firstLine="799"/>
        <w:jc w:val="both"/>
        <w:rPr>
          <w:rFonts w:ascii="Times New Roman" w:hAnsi="Times New Roman" w:cs="Times New Roman"/>
        </w:rPr>
      </w:pPr>
      <w:r>
        <w:rPr>
          <w:rFonts w:ascii="Times New Roman" w:eastAsia="SimSun" w:hAnsi="Times New Roman" w:cs="Times New Roman"/>
          <w:sz w:val="24"/>
          <w:szCs w:val="24"/>
        </w:rPr>
        <w:t>A tecnologia e a inovação são essenciais na formação da sociedade moderna, afetando o trabalho e as relações interpessoais, além de influenciar a gestão social e gerar consequências psicossociais</w:t>
      </w:r>
      <w:r>
        <w:rPr>
          <w:rFonts w:ascii="Times New Roman" w:eastAsia="SimSun" w:hAnsi="Times New Roman" w:cs="Times New Roman"/>
          <w:sz w:val="24"/>
          <w:szCs w:val="24"/>
          <w:lang w:val="pt-PT"/>
        </w:rPr>
        <w:t xml:space="preserve">. Como afirma </w:t>
      </w:r>
      <w:r>
        <w:rPr>
          <w:rFonts w:ascii="Times New Roman" w:eastAsia="SimSun" w:hAnsi="Times New Roman" w:cs="Times New Roman"/>
          <w:sz w:val="24"/>
          <w:szCs w:val="24"/>
        </w:rPr>
        <w:t xml:space="preserve">Oliveira </w:t>
      </w:r>
      <w:r>
        <w:rPr>
          <w:rFonts w:ascii="Times New Roman" w:eastAsia="SimSun" w:hAnsi="Times New Roman" w:cs="Times New Roman"/>
          <w:i/>
          <w:iCs/>
          <w:sz w:val="24"/>
          <w:szCs w:val="24"/>
        </w:rPr>
        <w:t>et al</w:t>
      </w:r>
      <w:r>
        <w:rPr>
          <w:rFonts w:ascii="Times New Roman" w:eastAsia="SimSun" w:hAnsi="Times New Roman" w:cs="Times New Roman"/>
          <w:sz w:val="24"/>
          <w:szCs w:val="24"/>
        </w:rPr>
        <w:t>. (2024, p.3</w:t>
      </w:r>
      <w:r>
        <w:rPr>
          <w:rFonts w:ascii="Times New Roman" w:eastAsia="SimSun" w:hAnsi="Times New Roman" w:cs="Times New Roman"/>
          <w:sz w:val="24"/>
          <w:szCs w:val="24"/>
          <w:lang w:val="pt-PT"/>
        </w:rPr>
        <w:t>),</w:t>
      </w:r>
      <w:r>
        <w:rPr>
          <w:rFonts w:ascii="Times New Roman" w:eastAsia="SimSun" w:hAnsi="Times New Roman" w:cs="Times New Roman"/>
          <w:sz w:val="24"/>
          <w:szCs w:val="24"/>
        </w:rPr>
        <w:t xml:space="preserve"> “o desenvolvimento da área tecnológica configura um jogo que envolve conflitos de interesses que vão desde a esfera económica, passando pela social, ambiental, relacional e política”. A tecnologia educacional é um empreendimento positivo, unindo pessoas com o objetivo comum de aprimorar e revolucionar o ensino. Seu propósito é promover um engajamento significativo e adaptado às realidades atuais</w:t>
      </w:r>
      <w:r>
        <w:rPr>
          <w:rFonts w:ascii="Times New Roman" w:hAnsi="Times New Roman" w:cs="Times New Roman"/>
          <w:sz w:val="24"/>
          <w:szCs w:val="24"/>
        </w:rPr>
        <w:t xml:space="preserve"> (</w:t>
      </w:r>
      <w:r>
        <w:rPr>
          <w:rFonts w:ascii="Times New Roman" w:eastAsia="SimSun" w:hAnsi="Times New Roman" w:cs="Times New Roman"/>
          <w:sz w:val="24"/>
          <w:szCs w:val="24"/>
        </w:rPr>
        <w:t>Greban, 2009;</w:t>
      </w:r>
      <w:r>
        <w:rPr>
          <w:rFonts w:ascii="Times New Roman" w:hAnsi="Times New Roman" w:cs="Times New Roman"/>
          <w:sz w:val="24"/>
          <w:szCs w:val="24"/>
        </w:rPr>
        <w:t xml:space="preserve"> </w:t>
      </w:r>
      <w:r>
        <w:rPr>
          <w:rFonts w:ascii="Times New Roman" w:eastAsia="SimSun" w:hAnsi="Times New Roman" w:cs="Times New Roman"/>
          <w:sz w:val="24"/>
          <w:szCs w:val="24"/>
        </w:rPr>
        <w:t xml:space="preserve">Jesus </w:t>
      </w:r>
      <w:r>
        <w:rPr>
          <w:rFonts w:ascii="Times New Roman" w:eastAsia="SimSun" w:hAnsi="Times New Roman" w:cs="Times New Roman"/>
          <w:i/>
          <w:iCs/>
          <w:sz w:val="24"/>
          <w:szCs w:val="24"/>
        </w:rPr>
        <w:t>et al</w:t>
      </w:r>
      <w:r>
        <w:rPr>
          <w:rFonts w:ascii="Times New Roman" w:eastAsia="SimSun" w:hAnsi="Times New Roman" w:cs="Times New Roman"/>
          <w:sz w:val="24"/>
          <w:szCs w:val="24"/>
        </w:rPr>
        <w:t>.,2020)</w:t>
      </w:r>
      <w:r>
        <w:rPr>
          <w:rFonts w:ascii="Times New Roman" w:hAnsi="Times New Roman" w:cs="Times New Roman"/>
          <w:sz w:val="24"/>
          <w:szCs w:val="24"/>
        </w:rPr>
        <w:t>.</w:t>
      </w:r>
      <w:r>
        <w:rPr>
          <w:rFonts w:ascii="Times New Roman" w:hAnsi="Times New Roman" w:cs="Times New Roman"/>
        </w:rPr>
        <w:t xml:space="preserve"> </w:t>
      </w:r>
    </w:p>
    <w:p w14:paraId="7C4A20F3" w14:textId="77777777" w:rsidR="00C87C80" w:rsidRDefault="00C87C80" w:rsidP="00C87C80">
      <w:pPr>
        <w:spacing w:line="360" w:lineRule="auto"/>
        <w:ind w:firstLine="799"/>
        <w:jc w:val="both"/>
        <w:rPr>
          <w:rFonts w:ascii="Times New Roman" w:hAnsi="Times New Roman" w:cs="Times New Roman"/>
          <w:sz w:val="24"/>
          <w:szCs w:val="24"/>
        </w:rPr>
      </w:pPr>
      <w:r>
        <w:rPr>
          <w:rFonts w:ascii="Times New Roman" w:hAnsi="Times New Roman" w:cs="Times New Roman"/>
          <w:sz w:val="24"/>
          <w:szCs w:val="24"/>
        </w:rPr>
        <w:t xml:space="preserve">Para maximizar esses proveitos, é fundamental investir em infraestruturas incluindo internet, computadores, tablets nas escolas e na criação de praças digitais que possibilitem o acesso às tecnologias pela sociedade. Além disso, é vital incentivar a capacitação docente e fomentar a criatividade. A adaptação a esse modelo de ensino, que integra a tecnologia à prática pedagógica de forma eficiente, é essencial para alcançar uma educação inclusiva e de qualidade. </w:t>
      </w:r>
    </w:p>
    <w:p w14:paraId="42DF072F" w14:textId="77777777" w:rsidR="00C87C80" w:rsidRDefault="00C87C80" w:rsidP="00C87C80">
      <w:pPr>
        <w:spacing w:line="360" w:lineRule="auto"/>
        <w:jc w:val="both"/>
        <w:rPr>
          <w:rFonts w:ascii="Times New Roman" w:hAnsi="Times New Roman" w:cs="Times New Roman"/>
          <w:sz w:val="24"/>
          <w:szCs w:val="24"/>
        </w:rPr>
      </w:pPr>
    </w:p>
    <w:p w14:paraId="01236820" w14:textId="77777777" w:rsidR="00C87C80" w:rsidRDefault="00C87C80" w:rsidP="00C87C80">
      <w:pPr>
        <w:spacing w:line="360" w:lineRule="auto"/>
        <w:jc w:val="both"/>
        <w:rPr>
          <w:rFonts w:ascii="Times New Roman" w:eastAsia="SimSun" w:hAnsi="Times New Roman" w:cs="Times New Roman"/>
          <w:sz w:val="24"/>
          <w:szCs w:val="24"/>
        </w:rPr>
      </w:pPr>
      <w:r>
        <w:rPr>
          <w:rFonts w:ascii="Times New Roman" w:hAnsi="Times New Roman" w:cs="Times New Roman"/>
          <w:sz w:val="24"/>
          <w:szCs w:val="24"/>
        </w:rPr>
        <w:t xml:space="preserve">4. </w:t>
      </w:r>
      <w:r>
        <w:rPr>
          <w:rFonts w:ascii="Times New Roman" w:eastAsia="SimSun" w:hAnsi="Times New Roman" w:cs="Times New Roman"/>
          <w:b/>
          <w:bCs/>
          <w:sz w:val="24"/>
          <w:szCs w:val="24"/>
        </w:rPr>
        <w:t xml:space="preserve">CONSIDERAÇÕES FINAIS </w:t>
      </w:r>
    </w:p>
    <w:p w14:paraId="465E4321" w14:textId="77777777" w:rsidR="00C87C80" w:rsidRDefault="00C87C80" w:rsidP="00C87C80">
      <w:pPr>
        <w:jc w:val="both"/>
        <w:rPr>
          <w:rFonts w:ascii="Times New Roman" w:eastAsia="SimSun" w:hAnsi="Times New Roman" w:cs="Times New Roman"/>
          <w:b/>
          <w:bCs/>
          <w:sz w:val="12"/>
          <w:szCs w:val="12"/>
        </w:rPr>
      </w:pPr>
    </w:p>
    <w:p w14:paraId="294228F9" w14:textId="77777777" w:rsidR="00C87C80" w:rsidRDefault="00C87C80" w:rsidP="00C87C80">
      <w:pPr>
        <w:jc w:val="both"/>
        <w:rPr>
          <w:rFonts w:ascii="Times New Roman" w:eastAsia="SimSun" w:hAnsi="Times New Roman" w:cs="Times New Roman"/>
          <w:b/>
          <w:bCs/>
          <w:sz w:val="10"/>
          <w:szCs w:val="10"/>
        </w:rPr>
      </w:pPr>
    </w:p>
    <w:p w14:paraId="6A2AB18B"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Este estudo enfatiza que, embora a tecnologia de inovação educacional seja um vetor estratégico para a inclusão e a democratização do ensino em Moçambique, sua eficácia plena depende da superação de desafios estruturais e de uma abordagem pedagógica critica. Para garantir uma integração tecnologia sustentável, é imprescindível a criação de políticas públicas sólidas que deem prioridade ao investimento em infraestruturas básicas, sobretudo em zonas rurais. Nesse cenário, a tecnologia não deve ser considerada uma substituta do ensino tradicional, mas sim como um recurso complementar que possibilita a personalização do aprendizado e o envolvimento ativo do estudante. Em que o papel do professor se transforma de transmissor para mediador entre o aluno, a ferramenta digital e o conteúdo.</w:t>
      </w:r>
    </w:p>
    <w:p w14:paraId="02EA2094"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A integração de ferramenta avançadas, como AI, traz benefícios evidentes na otimização do tempo e no fornecimento de suporte personalizado, porém requer supervisão humana para evitar riscos como o plágio, a desinformação e a perda da criatividade. Da mesma forma, o uso inadequado da IA pode prejudicar o desenvolvimento cognitivo e o bem-estar emocional dos estudantes, tornando-os suscetíveis à manipulação e reduzindo seu engajamento com matérias educacionais tradicionais.  No entanto, para ter o sucesso na educação no século XXI, é necessário que tanto os alunos quanto os professores dominem essas tecnologias de maneira consciente, critica e colaborativa, a fim de transformar o ensino e a aprendizagem em processos mais inclusivos e acessíveis.</w:t>
      </w:r>
    </w:p>
    <w:p w14:paraId="6AF083A3" w14:textId="77777777" w:rsidR="00C87C80" w:rsidRDefault="00C87C80" w:rsidP="00C87C80">
      <w:pPr>
        <w:spacing w:line="360" w:lineRule="auto"/>
        <w:ind w:firstLine="799"/>
        <w:jc w:val="both"/>
        <w:rPr>
          <w:rFonts w:ascii="Times New Roman" w:eastAsia="SimSun" w:hAnsi="Times New Roman" w:cs="Times New Roman"/>
          <w:sz w:val="24"/>
          <w:szCs w:val="24"/>
        </w:rPr>
      </w:pPr>
      <w:r>
        <w:rPr>
          <w:rFonts w:ascii="Times New Roman" w:eastAsia="SimSun" w:hAnsi="Times New Roman" w:cs="Times New Roman"/>
          <w:sz w:val="24"/>
          <w:szCs w:val="24"/>
        </w:rPr>
        <w:t>A pesar de as tecnologias digitais oferecem oportunidades valiosas para personalizar o ensino e melhorar o acesso à informação, ainda existem há desafios consideráveis. A formação deficiente de professores e a ausência de políticas públicas efetivas restringem esse potencial transformador. Ademais, o uso das redes sociais, embora traga benefícios, pode aumentar de desigualdades e limitar a interação social.</w:t>
      </w:r>
    </w:p>
    <w:p w14:paraId="27F6F510" w14:textId="77777777" w:rsidR="00C87C80" w:rsidRDefault="00C87C80" w:rsidP="00C87C80">
      <w:pPr>
        <w:spacing w:line="360" w:lineRule="auto"/>
        <w:jc w:val="both"/>
        <w:rPr>
          <w:rFonts w:ascii="Times New Roman" w:eastAsia="SimSun" w:hAnsi="Times New Roman" w:cs="Times New Roman"/>
          <w:b/>
          <w:bCs/>
          <w:sz w:val="24"/>
          <w:szCs w:val="24"/>
        </w:rPr>
      </w:pPr>
    </w:p>
    <w:p w14:paraId="48242022" w14:textId="77777777" w:rsidR="00C87C80" w:rsidRDefault="00C87C80" w:rsidP="00C87C80">
      <w:pPr>
        <w:spacing w:line="36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REFERÊNCIAS BIBLIOGRÁFICAS </w:t>
      </w:r>
    </w:p>
    <w:p w14:paraId="2CF19078" w14:textId="77777777" w:rsidR="00C87C80" w:rsidRDefault="00C87C80" w:rsidP="00C87C80">
      <w:pPr>
        <w:rPr>
          <w:rFonts w:ascii="Times New Roman" w:eastAsia="SimSun" w:hAnsi="Times New Roman" w:cs="Times New Roman"/>
          <w:b/>
          <w:bCs/>
          <w:sz w:val="24"/>
          <w:szCs w:val="24"/>
        </w:rPr>
      </w:pPr>
    </w:p>
    <w:p w14:paraId="4A401672"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CARVALHO, Alexandre Filordi. </w:t>
      </w:r>
      <w:r>
        <w:rPr>
          <w:rFonts w:ascii="Times New Roman" w:eastAsia="SimSun" w:hAnsi="Times New Roman" w:cs="Times New Roman"/>
          <w:b/>
          <w:bCs/>
          <w:sz w:val="24"/>
          <w:szCs w:val="24"/>
        </w:rPr>
        <w:t>Foucault e a crítica à institucionalização da Educação</w:t>
      </w:r>
      <w:r>
        <w:rPr>
          <w:rFonts w:ascii="Times New Roman" w:eastAsia="SimSun" w:hAnsi="Times New Roman" w:cs="Times New Roman"/>
          <w:sz w:val="24"/>
          <w:szCs w:val="24"/>
        </w:rPr>
        <w:t xml:space="preserve">: implicações para as artes de governo. 2022 </w:t>
      </w:r>
    </w:p>
    <w:p w14:paraId="17A9FEDD" w14:textId="77777777" w:rsidR="00C87C80" w:rsidRDefault="00C87C80" w:rsidP="003E533B">
      <w:pPr>
        <w:jc w:val="both"/>
        <w:rPr>
          <w:rFonts w:ascii="Times New Roman" w:eastAsia="SimSun" w:hAnsi="Times New Roman" w:cs="Times New Roman"/>
          <w:sz w:val="16"/>
          <w:szCs w:val="16"/>
        </w:rPr>
      </w:pPr>
    </w:p>
    <w:p w14:paraId="6FA329E4"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CABRAL, A. A. Queiroz; CRUZ, C. Souza.</w:t>
      </w:r>
      <w:r>
        <w:t xml:space="preserve"> </w:t>
      </w:r>
      <w:r>
        <w:rPr>
          <w:rFonts w:ascii="Times New Roman" w:eastAsia="SimSun" w:hAnsi="Times New Roman" w:cs="Times New Roman"/>
          <w:b/>
          <w:bCs/>
          <w:sz w:val="24"/>
          <w:szCs w:val="24"/>
        </w:rPr>
        <w:t xml:space="preserve">O Impacto Da Tecnologia Na Sociedade. </w:t>
      </w:r>
      <w:r>
        <w:rPr>
          <w:rFonts w:ascii="Times New Roman" w:eastAsia="SimSun" w:hAnsi="Times New Roman" w:cs="Times New Roman"/>
          <w:sz w:val="24"/>
          <w:szCs w:val="24"/>
        </w:rPr>
        <w:t xml:space="preserve">2025 </w:t>
      </w:r>
    </w:p>
    <w:p w14:paraId="618B0637" w14:textId="77777777" w:rsidR="00C87C80" w:rsidRDefault="009032F2" w:rsidP="003E533B">
      <w:pPr>
        <w:jc w:val="both"/>
        <w:rPr>
          <w:rFonts w:ascii="Times New Roman" w:hAnsi="Times New Roman" w:cs="Times New Roman"/>
          <w:sz w:val="24"/>
          <w:szCs w:val="24"/>
        </w:rPr>
      </w:pPr>
      <w:hyperlink r:id="rId8" w:history="1">
        <w:r w:rsidR="00C87C80">
          <w:rPr>
            <w:rStyle w:val="Hyperlink"/>
            <w:rFonts w:ascii="Times New Roman" w:hAnsi="Times New Roman" w:cs="Times New Roman"/>
            <w:sz w:val="24"/>
            <w:szCs w:val="24"/>
          </w:rPr>
          <w:t>https://revistaft.com.br/o-impacto-da-tecnologia-na-sociedade/#</w:t>
        </w:r>
      </w:hyperlink>
      <w:r w:rsidR="00C87C80">
        <w:rPr>
          <w:rFonts w:ascii="Times New Roman" w:hAnsi="Times New Roman" w:cs="Times New Roman"/>
          <w:sz w:val="24"/>
          <w:szCs w:val="24"/>
        </w:rPr>
        <w:t xml:space="preserve"> Acessado 21. 02. 2026</w:t>
      </w:r>
    </w:p>
    <w:p w14:paraId="2D7A4585" w14:textId="77777777" w:rsidR="00C87C80" w:rsidRDefault="00C87C80" w:rsidP="003E533B">
      <w:pPr>
        <w:jc w:val="both"/>
        <w:rPr>
          <w:rFonts w:ascii="Times New Roman" w:eastAsia="SimSun" w:hAnsi="Times New Roman" w:cs="Times New Roman"/>
          <w:sz w:val="10"/>
          <w:szCs w:val="10"/>
        </w:rPr>
      </w:pPr>
    </w:p>
    <w:p w14:paraId="46C9DB7A"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FERREIRA, M. J. M. A. </w:t>
      </w:r>
      <w:r>
        <w:rPr>
          <w:rFonts w:ascii="Times New Roman" w:eastAsia="SimSun" w:hAnsi="Times New Roman" w:cs="Times New Roman"/>
          <w:b/>
          <w:bCs/>
          <w:sz w:val="24"/>
          <w:szCs w:val="24"/>
        </w:rPr>
        <w:t>Novas tecnologias na sala de aula. Universidade Estadual da Paraíba</w:t>
      </w:r>
      <w:r>
        <w:rPr>
          <w:rFonts w:ascii="Times New Roman" w:eastAsia="SimSun" w:hAnsi="Times New Roman" w:cs="Times New Roman"/>
          <w:sz w:val="24"/>
          <w:szCs w:val="24"/>
        </w:rPr>
        <w:t>. 2014.</w:t>
      </w:r>
    </w:p>
    <w:p w14:paraId="48F5C132" w14:textId="77777777" w:rsidR="00C87C80" w:rsidRDefault="00C87C80" w:rsidP="003E533B">
      <w:pPr>
        <w:jc w:val="both"/>
        <w:rPr>
          <w:rFonts w:ascii="Times New Roman" w:hAnsi="Times New Roman" w:cs="Times New Roman"/>
          <w:sz w:val="10"/>
          <w:szCs w:val="10"/>
        </w:rPr>
      </w:pPr>
      <w:r>
        <w:rPr>
          <w:rFonts w:ascii="Times New Roman" w:eastAsia="SimSun" w:hAnsi="Times New Roman" w:cs="Times New Roman"/>
          <w:sz w:val="24"/>
          <w:szCs w:val="24"/>
        </w:rPr>
        <w:t xml:space="preserve"> </w:t>
      </w:r>
    </w:p>
    <w:p w14:paraId="170167E5" w14:textId="77777777" w:rsidR="00C87C80" w:rsidRDefault="00C87C80" w:rsidP="003E533B">
      <w:pPr>
        <w:jc w:val="both"/>
      </w:pPr>
      <w:r>
        <w:rPr>
          <w:rFonts w:ascii="Times New Roman" w:eastAsia="SimSun" w:hAnsi="Times New Roman" w:cs="Times New Roman"/>
          <w:sz w:val="24"/>
          <w:szCs w:val="24"/>
        </w:rPr>
        <w:t xml:space="preserve">FREIRE, Paulo. </w:t>
      </w:r>
      <w:r>
        <w:rPr>
          <w:rFonts w:ascii="Times New Roman" w:eastAsia="SimSun" w:hAnsi="Times New Roman" w:cs="Times New Roman"/>
          <w:b/>
          <w:bCs/>
          <w:sz w:val="24"/>
          <w:szCs w:val="24"/>
        </w:rPr>
        <w:t>Cartas à Guiné-Bissau</w:t>
      </w:r>
      <w:r>
        <w:rPr>
          <w:rFonts w:ascii="Times New Roman" w:eastAsia="SimSun" w:hAnsi="Times New Roman" w:cs="Times New Roman"/>
          <w:sz w:val="24"/>
          <w:szCs w:val="24"/>
        </w:rPr>
        <w:t xml:space="preserve">: registros de uma experiência. 1978. </w:t>
      </w:r>
      <w:r>
        <w:rPr>
          <w:rFonts w:ascii="TimesNewRomanPSMT" w:eastAsia="TimesNewRomanPSMT" w:hAnsi="TimesNewRomanPSMT" w:cs="TimesNewRomanPSMT"/>
          <w:color w:val="000000"/>
          <w:sz w:val="24"/>
          <w:szCs w:val="24"/>
        </w:rPr>
        <w:t>2ª ed., Rio de Janeiro, Paz e Terra,173p. ilust. (O Mundo, hoje, v. 22)</w:t>
      </w:r>
      <w:r>
        <w:rPr>
          <w:rFonts w:ascii="SimSun" w:eastAsia="SimSun" w:hAnsi="SimSun" w:cs="SimSun" w:hint="eastAsia"/>
          <w:sz w:val="24"/>
          <w:szCs w:val="24"/>
        </w:rPr>
        <w:t xml:space="preserve"> </w:t>
      </w:r>
      <w:r>
        <w:rPr>
          <w:rFonts w:ascii="TimesNewRomanPSMT" w:eastAsia="TimesNewRomanPSMT" w:hAnsi="TimesNewRomanPSMT" w:cs="TimesNewRomanPSMT"/>
          <w:color w:val="000000"/>
          <w:sz w:val="24"/>
          <w:szCs w:val="24"/>
        </w:rPr>
        <w:t>CDD – 374-02 379.24096657</w:t>
      </w:r>
    </w:p>
    <w:p w14:paraId="2BFB6FAB" w14:textId="77777777" w:rsidR="00C87C80" w:rsidRDefault="00C87C80" w:rsidP="003E533B">
      <w:pPr>
        <w:jc w:val="both"/>
        <w:rPr>
          <w:rFonts w:ascii="Times New Roman" w:hAnsi="Times New Roman" w:cs="Times New Roman"/>
          <w:sz w:val="10"/>
          <w:szCs w:val="10"/>
        </w:rPr>
      </w:pPr>
    </w:p>
    <w:p w14:paraId="67F7C4CA" w14:textId="77777777" w:rsidR="00C87C80" w:rsidRDefault="00C87C80" w:rsidP="003E533B">
      <w:pPr>
        <w:jc w:val="both"/>
        <w:rPr>
          <w:rFonts w:ascii="Times New Roman" w:hAnsi="Times New Roman" w:cs="Times New Roman"/>
        </w:rPr>
      </w:pPr>
      <w:r>
        <w:rPr>
          <w:rFonts w:ascii="Times New Roman" w:eastAsia="SimSun" w:hAnsi="Times New Roman" w:cs="Times New Roman"/>
          <w:sz w:val="24"/>
          <w:szCs w:val="24"/>
        </w:rPr>
        <w:t xml:space="preserve">FERNANDO, Ocácio Manuel &amp; GONÇALVES, Bruno F. </w:t>
      </w:r>
      <w:r>
        <w:rPr>
          <w:rFonts w:ascii="Times New Roman" w:eastAsia="SimSun" w:hAnsi="Times New Roman" w:cs="Times New Roman"/>
          <w:b/>
          <w:bCs/>
          <w:sz w:val="24"/>
          <w:szCs w:val="24"/>
        </w:rPr>
        <w:t>Análise do impacto da transformação digital no setor da educação</w:t>
      </w:r>
      <w:r>
        <w:rPr>
          <w:rFonts w:ascii="Times New Roman" w:eastAsia="SimSun" w:hAnsi="Times New Roman" w:cs="Times New Roman"/>
          <w:sz w:val="24"/>
          <w:szCs w:val="24"/>
        </w:rPr>
        <w:t xml:space="preserve">: Um olhar sobre instituições de ensino superior </w:t>
      </w:r>
    </w:p>
    <w:p w14:paraId="27457923"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em Moçambique. 2023</w:t>
      </w:r>
    </w:p>
    <w:p w14:paraId="2F4501F1" w14:textId="77777777" w:rsidR="00C87C80" w:rsidRDefault="00C87C80" w:rsidP="003E533B">
      <w:pPr>
        <w:jc w:val="both"/>
        <w:rPr>
          <w:rFonts w:ascii="Times New Roman" w:eastAsia="SimSun" w:hAnsi="Times New Roman" w:cs="Times New Roman"/>
          <w:sz w:val="10"/>
          <w:szCs w:val="10"/>
        </w:rPr>
      </w:pPr>
    </w:p>
    <w:p w14:paraId="0568464F" w14:textId="77777777" w:rsidR="00C87C80" w:rsidRDefault="00C87C80" w:rsidP="003E533B">
      <w:pPr>
        <w:jc w:val="both"/>
        <w:rPr>
          <w:rFonts w:ascii="Times New Roman" w:eastAsia="SimSun" w:hAnsi="Times New Roman" w:cs="Times New Roman"/>
          <w:sz w:val="24"/>
          <w:szCs w:val="24"/>
        </w:rPr>
      </w:pPr>
      <w:r>
        <w:rPr>
          <w:rFonts w:ascii="Times New Roman" w:eastAsia="TimesNewRomanPS-BoldMT" w:hAnsi="Times New Roman" w:cs="Times New Roman"/>
          <w:sz w:val="24"/>
          <w:szCs w:val="24"/>
        </w:rPr>
        <w:t>FREIRES</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K</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C</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Paulino</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SILVA</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M</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A</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M</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Pereira</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SALES</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F</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Odécio</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LIMA</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F</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F</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R</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RODRIGUES</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Santos</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J</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Santana</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SANTIAGO</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E</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C</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Boaratti</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SILVA</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W</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Costa</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Martins</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P</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A</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Lima</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DAMASCENO</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M</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V</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da Silva</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SOARES</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sz w:val="24"/>
          <w:szCs w:val="24"/>
        </w:rPr>
        <w:t>A</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G</w:t>
      </w:r>
      <w:r>
        <w:rPr>
          <w:rFonts w:ascii="Times New Roman" w:eastAsia="TimesNewRomanPS-BoldMT" w:hAnsi="Times New Roman" w:cs="Times New Roman"/>
          <w:sz w:val="24"/>
          <w:szCs w:val="24"/>
          <w:lang w:val="pt-PT"/>
        </w:rPr>
        <w:t>.</w:t>
      </w:r>
      <w:r>
        <w:rPr>
          <w:rFonts w:ascii="Times New Roman" w:eastAsia="TimesNewRomanPS-BoldMT" w:hAnsi="Times New Roman" w:cs="Times New Roman"/>
          <w:sz w:val="24"/>
          <w:szCs w:val="24"/>
        </w:rPr>
        <w:t xml:space="preserve"> da Silva</w:t>
      </w:r>
      <w:r>
        <w:rPr>
          <w:rFonts w:ascii="Times New Roman" w:eastAsia="TimesNewRomanPS-BoldMT" w:hAnsi="Times New Roman" w:cs="Times New Roman"/>
          <w:sz w:val="24"/>
          <w:szCs w:val="24"/>
          <w:lang w:val="pt-PT"/>
        </w:rPr>
        <w:t xml:space="preserve">. </w:t>
      </w:r>
      <w:r>
        <w:rPr>
          <w:rFonts w:ascii="Times New Roman" w:eastAsia="TimesNewRomanPS-BoldMT" w:hAnsi="Times New Roman" w:cs="Times New Roman"/>
          <w:b/>
          <w:bCs/>
          <w:sz w:val="24"/>
          <w:szCs w:val="24"/>
        </w:rPr>
        <w:t>O impacto do uso da Inteligência Artificial nos processos de ensino e aprendizagem</w:t>
      </w:r>
      <w:r>
        <w:rPr>
          <w:rFonts w:ascii="Times New Roman" w:eastAsia="TimesNewRomanPS-BoldMT" w:hAnsi="Times New Roman" w:cs="Times New Roman"/>
          <w:sz w:val="24"/>
          <w:szCs w:val="24"/>
          <w:lang w:val="pt-PT"/>
        </w:rPr>
        <w:t>. 2024.</w:t>
      </w:r>
    </w:p>
    <w:p w14:paraId="0C5DEA51" w14:textId="77777777" w:rsidR="00C87C80" w:rsidRDefault="00C87C80" w:rsidP="003E533B">
      <w:pPr>
        <w:jc w:val="both"/>
        <w:rPr>
          <w:rFonts w:ascii="Times New Roman" w:eastAsia="SimSun" w:hAnsi="Times New Roman" w:cs="Times New Roman"/>
          <w:sz w:val="10"/>
          <w:szCs w:val="10"/>
        </w:rPr>
      </w:pPr>
    </w:p>
    <w:p w14:paraId="09F2DFF3"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GEBRAN, Mauricio Pessoa. </w:t>
      </w:r>
      <w:r>
        <w:rPr>
          <w:rFonts w:ascii="Times New Roman" w:eastAsia="SimSun" w:hAnsi="Times New Roman" w:cs="Times New Roman"/>
          <w:b/>
          <w:bCs/>
          <w:sz w:val="24"/>
          <w:szCs w:val="24"/>
        </w:rPr>
        <w:t>Tecnologias Educacionais</w:t>
      </w:r>
      <w:r>
        <w:rPr>
          <w:rFonts w:ascii="Times New Roman" w:eastAsia="SimSun" w:hAnsi="Times New Roman" w:cs="Times New Roman"/>
          <w:sz w:val="24"/>
          <w:szCs w:val="24"/>
        </w:rPr>
        <w:t>. 2009. ISBN: 978-85-387-0739-4</w:t>
      </w:r>
    </w:p>
    <w:p w14:paraId="45861B6F" w14:textId="77777777" w:rsidR="00C87C80" w:rsidRDefault="00C87C80" w:rsidP="003E533B">
      <w:pPr>
        <w:jc w:val="both"/>
        <w:rPr>
          <w:rFonts w:ascii="Times New Roman" w:eastAsia="SimSun" w:hAnsi="Times New Roman" w:cs="Times New Roman"/>
          <w:sz w:val="10"/>
          <w:szCs w:val="10"/>
        </w:rPr>
      </w:pPr>
    </w:p>
    <w:p w14:paraId="44D746F8" w14:textId="77777777" w:rsidR="00C87C80" w:rsidRDefault="00C87C80" w:rsidP="003E533B">
      <w:pPr>
        <w:jc w:val="both"/>
      </w:pPr>
      <w:r>
        <w:rPr>
          <w:rStyle w:val="fontstyle01"/>
          <w:sz w:val="24"/>
          <w:szCs w:val="24"/>
        </w:rPr>
        <w:t xml:space="preserve">GIL, Antônio Carlos. </w:t>
      </w:r>
      <w:r>
        <w:rPr>
          <w:rStyle w:val="fontstyle01"/>
          <w:b/>
          <w:bCs/>
          <w:sz w:val="24"/>
          <w:szCs w:val="24"/>
        </w:rPr>
        <w:t xml:space="preserve">Como elaborar projetos de pesquisa </w:t>
      </w:r>
      <w:r>
        <w:rPr>
          <w:rStyle w:val="fontstyle01"/>
          <w:sz w:val="24"/>
          <w:szCs w:val="24"/>
        </w:rPr>
        <w:t>- 4.ed. - São Paulo : Atlas, 2002 Bibliografia.ISBN 85-224-3169-8</w:t>
      </w:r>
      <w:r>
        <w:rPr>
          <w:rFonts w:ascii="SimSun" w:eastAsia="SimSun" w:hAnsi="SimSun" w:cs="SimSun" w:hint="eastAsia"/>
          <w:sz w:val="24"/>
          <w:szCs w:val="24"/>
        </w:rPr>
        <w:t xml:space="preserve"> </w:t>
      </w:r>
    </w:p>
    <w:p w14:paraId="11CA632D" w14:textId="77777777" w:rsidR="00C87C80" w:rsidRDefault="00C87C80" w:rsidP="003E533B">
      <w:pPr>
        <w:jc w:val="both"/>
        <w:rPr>
          <w:rFonts w:ascii="Times New Roman" w:hAnsi="Times New Roman" w:cs="Times New Roman"/>
          <w:sz w:val="10"/>
          <w:szCs w:val="10"/>
        </w:rPr>
      </w:pPr>
    </w:p>
    <w:p w14:paraId="1C4B68FA"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JESUS, Pedro &amp; AZEVEDO, Joaquim. </w:t>
      </w:r>
      <w:r>
        <w:rPr>
          <w:rFonts w:ascii="Times New Roman" w:eastAsia="SimSun" w:hAnsi="Times New Roman" w:cs="Times New Roman"/>
          <w:b/>
          <w:bCs/>
          <w:sz w:val="24"/>
          <w:szCs w:val="24"/>
        </w:rPr>
        <w:t>Inovação educacional. o que ê? porquê? onde?como?.</w:t>
      </w:r>
      <w:r>
        <w:rPr>
          <w:rFonts w:ascii="Times New Roman" w:eastAsia="SimSun" w:hAnsi="Times New Roman" w:cs="Times New Roman"/>
          <w:sz w:val="24"/>
          <w:szCs w:val="24"/>
        </w:rPr>
        <w:t xml:space="preserve">2020 </w:t>
      </w:r>
    </w:p>
    <w:p w14:paraId="1406F812" w14:textId="77777777" w:rsidR="00C87C80" w:rsidRDefault="00C87C80" w:rsidP="003E533B">
      <w:pPr>
        <w:jc w:val="both"/>
        <w:rPr>
          <w:rFonts w:ascii="Times New Roman" w:eastAsia="SimSun" w:hAnsi="Times New Roman" w:cs="Times New Roman"/>
          <w:sz w:val="10"/>
          <w:szCs w:val="10"/>
        </w:rPr>
      </w:pPr>
    </w:p>
    <w:p w14:paraId="6A677552"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LAGARTO, José Reis. </w:t>
      </w:r>
      <w:r>
        <w:rPr>
          <w:rFonts w:ascii="Times New Roman" w:eastAsia="SimSun" w:hAnsi="Times New Roman" w:cs="Times New Roman"/>
          <w:b/>
          <w:bCs/>
          <w:sz w:val="24"/>
          <w:szCs w:val="24"/>
        </w:rPr>
        <w:t>O papel das tecnologias de informação e comunicação no desenvolvimento comunitário em Moçambique</w:t>
      </w:r>
      <w:r>
        <w:rPr>
          <w:rFonts w:ascii="Times New Roman" w:eastAsia="SimSun" w:hAnsi="Times New Roman" w:cs="Times New Roman"/>
          <w:sz w:val="24"/>
          <w:szCs w:val="24"/>
        </w:rPr>
        <w:t xml:space="preserve">. 2018 </w:t>
      </w:r>
    </w:p>
    <w:p w14:paraId="1E0CC021" w14:textId="77777777" w:rsidR="00C87C80" w:rsidRDefault="00C87C80" w:rsidP="003E533B">
      <w:pPr>
        <w:jc w:val="both"/>
        <w:rPr>
          <w:rFonts w:ascii="Times New Roman" w:eastAsia="SimSun" w:hAnsi="Times New Roman" w:cs="Times New Roman"/>
          <w:sz w:val="10"/>
          <w:szCs w:val="10"/>
        </w:rPr>
      </w:pPr>
    </w:p>
    <w:p w14:paraId="6A3376B2"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LIMA, J. M. M. </w:t>
      </w:r>
      <w:r>
        <w:rPr>
          <w:rFonts w:ascii="Times New Roman" w:eastAsia="SimSun" w:hAnsi="Times New Roman" w:cs="Times New Roman"/>
          <w:b/>
          <w:bCs/>
          <w:sz w:val="24"/>
          <w:szCs w:val="24"/>
        </w:rPr>
        <w:t>Plataforma Moodle: A educação por mediação tecnológica</w:t>
      </w:r>
      <w:r>
        <w:rPr>
          <w:rFonts w:ascii="Times New Roman" w:eastAsia="SimSun" w:hAnsi="Times New Roman" w:cs="Times New Roman"/>
          <w:sz w:val="24"/>
          <w:szCs w:val="24"/>
        </w:rPr>
        <w:t>. 2021</w:t>
      </w:r>
    </w:p>
    <w:p w14:paraId="535D7A28" w14:textId="77777777" w:rsidR="00C87C80" w:rsidRDefault="00C87C80" w:rsidP="003E533B">
      <w:pPr>
        <w:jc w:val="both"/>
        <w:rPr>
          <w:rFonts w:ascii="Times New Roman" w:hAnsi="Times New Roman" w:cs="Times New Roman"/>
          <w:sz w:val="10"/>
          <w:szCs w:val="10"/>
        </w:rPr>
      </w:pPr>
      <w:r>
        <w:rPr>
          <w:rFonts w:ascii="Times New Roman" w:eastAsia="SimSun" w:hAnsi="Times New Roman" w:cs="Times New Roman"/>
          <w:sz w:val="24"/>
          <w:szCs w:val="24"/>
        </w:rPr>
        <w:t xml:space="preserve"> </w:t>
      </w:r>
    </w:p>
    <w:p w14:paraId="44243529"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MATIAS, Achegar Tiodósio; DE CASTRO, Cantífula e GONÇALVES, Bruno F. </w:t>
      </w:r>
      <w:r>
        <w:rPr>
          <w:rFonts w:ascii="Times New Roman" w:eastAsia="SimSun" w:hAnsi="Times New Roman" w:cs="Times New Roman"/>
          <w:b/>
          <w:bCs/>
          <w:sz w:val="24"/>
          <w:szCs w:val="24"/>
        </w:rPr>
        <w:t xml:space="preserve">Tecnologias digitais na promoção de novas formas de ensino e aprendizagem em Moçambique. </w:t>
      </w:r>
      <w:r>
        <w:rPr>
          <w:rFonts w:ascii="Times New Roman" w:eastAsia="SimSun" w:hAnsi="Times New Roman" w:cs="Times New Roman"/>
          <w:sz w:val="24"/>
          <w:szCs w:val="24"/>
        </w:rPr>
        <w:t xml:space="preserve">2024 </w:t>
      </w:r>
    </w:p>
    <w:p w14:paraId="3C183D90" w14:textId="77777777" w:rsidR="00C87C80" w:rsidRDefault="00C87C80" w:rsidP="003E533B">
      <w:pPr>
        <w:jc w:val="both"/>
        <w:rPr>
          <w:rFonts w:ascii="Times New Roman" w:eastAsia="SimSun" w:hAnsi="Times New Roman" w:cs="Times New Roman"/>
          <w:sz w:val="10"/>
          <w:szCs w:val="10"/>
        </w:rPr>
      </w:pPr>
    </w:p>
    <w:p w14:paraId="08FE84B9"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MORAN, J. M. </w:t>
      </w:r>
      <w:r>
        <w:rPr>
          <w:rFonts w:ascii="Times New Roman" w:eastAsia="SimSun" w:hAnsi="Times New Roman" w:cs="Times New Roman"/>
          <w:b/>
          <w:bCs/>
          <w:sz w:val="24"/>
          <w:szCs w:val="24"/>
        </w:rPr>
        <w:t>A educação que desejamos</w:t>
      </w:r>
      <w:r>
        <w:rPr>
          <w:rFonts w:ascii="Times New Roman" w:eastAsia="SimSun" w:hAnsi="Times New Roman" w:cs="Times New Roman"/>
          <w:sz w:val="24"/>
          <w:szCs w:val="24"/>
        </w:rPr>
        <w:t>: novos desafios e como chegar lá. Campinas: Papirus. 2011</w:t>
      </w:r>
    </w:p>
    <w:p w14:paraId="273664A8" w14:textId="77777777" w:rsidR="00C87C80" w:rsidRDefault="00C87C80" w:rsidP="003E533B">
      <w:pPr>
        <w:jc w:val="both"/>
        <w:rPr>
          <w:rFonts w:ascii="Times New Roman" w:eastAsia="SimSun" w:hAnsi="Times New Roman" w:cs="Times New Roman"/>
          <w:sz w:val="10"/>
          <w:szCs w:val="10"/>
        </w:rPr>
      </w:pPr>
    </w:p>
    <w:p w14:paraId="6CC04464"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MASCARENHAS, Alexandra Garcia e BONOW, Dirnei</w:t>
      </w:r>
      <w:r>
        <w:rPr>
          <w:rFonts w:ascii="Times New Roman" w:eastAsia="SimSun" w:hAnsi="Times New Roman" w:cs="Times New Roman"/>
          <w:i/>
          <w:iCs/>
          <w:sz w:val="24"/>
          <w:szCs w:val="24"/>
        </w:rPr>
        <w:t xml:space="preserve">. </w:t>
      </w:r>
      <w:r>
        <w:rPr>
          <w:rFonts w:ascii="Times New Roman" w:eastAsia="SimSun" w:hAnsi="Times New Roman" w:cs="Times New Roman"/>
          <w:b/>
          <w:bCs/>
          <w:sz w:val="24"/>
          <w:szCs w:val="24"/>
        </w:rPr>
        <w:t>A Educação nas teorias de Émile Durkheim, Max Weber e Karl Marx</w:t>
      </w:r>
      <w:r>
        <w:rPr>
          <w:rFonts w:ascii="Times New Roman" w:eastAsia="SimSun" w:hAnsi="Times New Roman" w:cs="Times New Roman"/>
          <w:sz w:val="24"/>
          <w:szCs w:val="24"/>
        </w:rPr>
        <w:t>. 2013</w:t>
      </w:r>
    </w:p>
    <w:p w14:paraId="270C957C" w14:textId="77777777" w:rsidR="00C87C80" w:rsidRDefault="00C87C80" w:rsidP="003E533B">
      <w:pPr>
        <w:jc w:val="both"/>
        <w:rPr>
          <w:rFonts w:ascii="Times New Roman" w:eastAsia="SimSun" w:hAnsi="Times New Roman" w:cs="Times New Roman"/>
          <w:sz w:val="10"/>
          <w:szCs w:val="10"/>
        </w:rPr>
      </w:pPr>
    </w:p>
    <w:p w14:paraId="28CF71EB" w14:textId="77777777" w:rsidR="00C87C80" w:rsidRDefault="00C87C80" w:rsidP="003E533B">
      <w:pPr>
        <w:jc w:val="both"/>
        <w:rPr>
          <w:rFonts w:ascii="Times New Roman" w:hAnsi="Times New Roman" w:cs="Times New Roman"/>
          <w:sz w:val="24"/>
          <w:szCs w:val="24"/>
          <w:lang w:val="pt-PT"/>
        </w:rPr>
      </w:pPr>
      <w:r>
        <w:rPr>
          <w:rFonts w:ascii="Times New Roman" w:eastAsia="CIDFont" w:hAnsi="Times New Roman" w:cs="Times New Roman"/>
          <w:color w:val="000000"/>
          <w:sz w:val="24"/>
          <w:szCs w:val="24"/>
          <w:lang w:val="pt-PT"/>
        </w:rPr>
        <w:t>M</w:t>
      </w:r>
      <w:r>
        <w:rPr>
          <w:rFonts w:ascii="Times New Roman" w:eastAsia="CIDFont" w:hAnsi="Times New Roman" w:cs="Times New Roman"/>
          <w:color w:val="000000"/>
          <w:sz w:val="24"/>
          <w:szCs w:val="24"/>
        </w:rPr>
        <w:t xml:space="preserve">UNGUAMBE, J. A. (2025). </w:t>
      </w:r>
      <w:r>
        <w:rPr>
          <w:rFonts w:ascii="Times New Roman" w:eastAsia="CIDFont" w:hAnsi="Times New Roman" w:cs="Times New Roman"/>
          <w:b/>
          <w:bCs/>
          <w:color w:val="000000"/>
          <w:sz w:val="24"/>
          <w:szCs w:val="24"/>
        </w:rPr>
        <w:t>Mudanças nos princípios éticos da educação em Moçambique</w:t>
      </w:r>
      <w:r>
        <w:rPr>
          <w:rFonts w:ascii="Times New Roman" w:eastAsia="CIDFont" w:hAnsi="Times New Roman" w:cs="Times New Roman"/>
          <w:color w:val="000000"/>
          <w:sz w:val="24"/>
          <w:szCs w:val="24"/>
        </w:rPr>
        <w:t xml:space="preserve">: do tradicional à modernidade. </w:t>
      </w:r>
      <w:r>
        <w:rPr>
          <w:rFonts w:ascii="Times New Roman" w:eastAsia="CIDFont" w:hAnsi="Times New Roman" w:cs="Times New Roman"/>
          <w:i/>
          <w:iCs/>
          <w:color w:val="000000"/>
          <w:sz w:val="24"/>
          <w:szCs w:val="24"/>
        </w:rPr>
        <w:t>ALBA - ISFIC Research and Science Journal, 1(6)</w:t>
      </w:r>
      <w:r>
        <w:rPr>
          <w:rFonts w:ascii="Times New Roman" w:eastAsia="CIDFont" w:hAnsi="Times New Roman" w:cs="Times New Roman"/>
          <w:color w:val="000000"/>
          <w:sz w:val="24"/>
          <w:szCs w:val="24"/>
        </w:rPr>
        <w:t xml:space="preserve">, pp. 142- 151. </w:t>
      </w:r>
      <w:hyperlink r:id="rId9" w:tooltip="https://alba.ac.mz/index.php/alba/issue/view/8." w:history="1">
        <w:r>
          <w:rPr>
            <w:rStyle w:val="Hyperlink"/>
            <w:rFonts w:ascii="Times New Roman" w:eastAsia="CIDFont" w:hAnsi="Times New Roman" w:cs="Times New Roman"/>
            <w:sz w:val="24"/>
            <w:szCs w:val="24"/>
          </w:rPr>
          <w:t>https://alba.ac.mz/index.php/alba/issue/view/8.</w:t>
        </w:r>
      </w:hyperlink>
      <w:r>
        <w:rPr>
          <w:rFonts w:ascii="Times New Roman" w:eastAsia="CIDFont" w:hAnsi="Times New Roman" w:cs="Times New Roman"/>
          <w:color w:val="000000"/>
          <w:sz w:val="24"/>
          <w:szCs w:val="24"/>
        </w:rPr>
        <w:t xml:space="preserve"> </w:t>
      </w:r>
      <w:r>
        <w:rPr>
          <w:rFonts w:ascii="Times New Roman" w:eastAsia="CIDFont" w:hAnsi="Times New Roman" w:cs="Times New Roman"/>
          <w:color w:val="000000"/>
          <w:sz w:val="24"/>
          <w:szCs w:val="24"/>
          <w:lang w:val="pt-PT"/>
        </w:rPr>
        <w:t>acessa 15.06.2025</w:t>
      </w:r>
    </w:p>
    <w:p w14:paraId="3951FCDE" w14:textId="77777777" w:rsidR="00C87C80" w:rsidRDefault="00C87C80" w:rsidP="003E533B">
      <w:pPr>
        <w:jc w:val="both"/>
        <w:rPr>
          <w:rFonts w:ascii="Times New Roman" w:eastAsia="SimSun" w:hAnsi="Times New Roman" w:cs="Times New Roman"/>
          <w:sz w:val="10"/>
          <w:szCs w:val="10"/>
        </w:rPr>
      </w:pPr>
    </w:p>
    <w:p w14:paraId="195EA8D7" w14:textId="77777777" w:rsidR="00C87C80" w:rsidRDefault="00C87C80" w:rsidP="003E533B">
      <w:pPr>
        <w:jc w:val="both"/>
        <w:rPr>
          <w:rFonts w:ascii="Times New Roman" w:hAnsi="Times New Roman" w:cs="Times New Roman"/>
        </w:rPr>
      </w:pPr>
      <w:r>
        <w:rPr>
          <w:rFonts w:ascii="Times New Roman" w:eastAsia="SimSun" w:hAnsi="Times New Roman" w:cs="Times New Roman"/>
          <w:sz w:val="24"/>
          <w:szCs w:val="24"/>
        </w:rPr>
        <w:t xml:space="preserve">NARCISO, Rodi; ALMEIDA, Evaristo Fernandes; GOMES, Luiz Carlos Melo; PASSOS, Luiz </w:t>
      </w:r>
      <w:r>
        <w:rPr>
          <w:rFonts w:ascii="Times New Roman" w:hAnsi="Times New Roman" w:cs="Times New Roman"/>
        </w:rPr>
        <w:t xml:space="preserve"> </w:t>
      </w:r>
      <w:r>
        <w:rPr>
          <w:rFonts w:ascii="Times New Roman" w:eastAsia="SimSun" w:hAnsi="Times New Roman" w:cs="Times New Roman"/>
          <w:sz w:val="24"/>
          <w:szCs w:val="24"/>
        </w:rPr>
        <w:t xml:space="preserve">Marcelo; MAFRA, Mackson Azevedo. </w:t>
      </w:r>
      <w:r>
        <w:rPr>
          <w:rFonts w:ascii="Times New Roman" w:eastAsia="SimSun" w:hAnsi="Times New Roman" w:cs="Times New Roman"/>
          <w:b/>
          <w:bCs/>
          <w:sz w:val="24"/>
          <w:szCs w:val="24"/>
        </w:rPr>
        <w:t>Inovação Educacional e o Papel das tecnologias digitais na formação de Professores do Século XXI</w:t>
      </w:r>
      <w:r>
        <w:rPr>
          <w:rFonts w:ascii="Times New Roman" w:eastAsia="SimSun" w:hAnsi="Times New Roman" w:cs="Times New Roman"/>
          <w:sz w:val="24"/>
          <w:szCs w:val="24"/>
        </w:rPr>
        <w:t xml:space="preserve">. 2024. </w:t>
      </w:r>
    </w:p>
    <w:p w14:paraId="5F8011ED" w14:textId="77777777" w:rsidR="00C87C80" w:rsidRDefault="00C87C80" w:rsidP="003E533B">
      <w:pPr>
        <w:jc w:val="both"/>
        <w:rPr>
          <w:rFonts w:ascii="Times New Roman" w:eastAsia="SimSun" w:hAnsi="Times New Roman" w:cs="Times New Roman"/>
          <w:sz w:val="10"/>
          <w:szCs w:val="10"/>
        </w:rPr>
      </w:pPr>
    </w:p>
    <w:p w14:paraId="4F3C986C"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OLIVEIRA, J. B. Araujo. </w:t>
      </w:r>
      <w:r>
        <w:rPr>
          <w:rFonts w:ascii="Times New Roman" w:eastAsia="SimSun" w:hAnsi="Times New Roman" w:cs="Times New Roman"/>
          <w:b/>
          <w:bCs/>
          <w:sz w:val="24"/>
          <w:szCs w:val="24"/>
        </w:rPr>
        <w:t>Tecnologia Educacional no brasil</w:t>
      </w:r>
      <w:r>
        <w:rPr>
          <w:rFonts w:ascii="Times New Roman" w:eastAsia="SimSun" w:hAnsi="Times New Roman" w:cs="Times New Roman"/>
          <w:sz w:val="24"/>
          <w:szCs w:val="24"/>
        </w:rPr>
        <w:t xml:space="preserve">. 1980. </w:t>
      </w:r>
    </w:p>
    <w:p w14:paraId="62B05394" w14:textId="77777777" w:rsidR="00C87C80" w:rsidRDefault="00C87C80" w:rsidP="003E533B">
      <w:pPr>
        <w:jc w:val="both"/>
        <w:rPr>
          <w:rFonts w:ascii="Times New Roman" w:eastAsia="SimSun" w:hAnsi="Times New Roman" w:cs="Times New Roman"/>
          <w:sz w:val="10"/>
          <w:szCs w:val="10"/>
        </w:rPr>
      </w:pPr>
    </w:p>
    <w:p w14:paraId="218347A2"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OLIVEIRA, E. F. Rezende, OLIVEIRA, L. Gabarra, LOPES, Leandro de Proença. </w:t>
      </w:r>
      <w:r>
        <w:rPr>
          <w:rFonts w:ascii="Times New Roman" w:eastAsia="SimSun" w:hAnsi="Times New Roman" w:cs="Times New Roman"/>
          <w:b/>
          <w:bCs/>
          <w:sz w:val="24"/>
          <w:szCs w:val="24"/>
        </w:rPr>
        <w:t>Construindo pontes: Paulo Freire entre saberes, projetos e continentes</w:t>
      </w:r>
      <w:r>
        <w:rPr>
          <w:rFonts w:ascii="Times New Roman" w:eastAsia="SimSun" w:hAnsi="Times New Roman" w:cs="Times New Roman"/>
          <w:sz w:val="24"/>
          <w:szCs w:val="24"/>
        </w:rPr>
        <w:t>, 2018. ISBN: 978-85-7826-595-3.</w:t>
      </w:r>
    </w:p>
    <w:p w14:paraId="445FD6C9" w14:textId="77777777" w:rsidR="00C87C80" w:rsidRDefault="00C87C80" w:rsidP="003E533B">
      <w:pPr>
        <w:jc w:val="both"/>
        <w:rPr>
          <w:rFonts w:ascii="Times New Roman" w:eastAsia="SimSun" w:hAnsi="Times New Roman" w:cs="Times New Roman"/>
          <w:sz w:val="10"/>
          <w:szCs w:val="10"/>
        </w:rPr>
      </w:pPr>
    </w:p>
    <w:p w14:paraId="2BBFBB0E" w14:textId="77777777" w:rsidR="00C87C80" w:rsidRDefault="00C87C80" w:rsidP="003E533B">
      <w:pPr>
        <w:jc w:val="both"/>
        <w:rPr>
          <w:rFonts w:ascii="Times New Roman" w:hAnsi="Times New Roman" w:cs="Times New Roman"/>
        </w:rPr>
      </w:pPr>
      <w:r>
        <w:rPr>
          <w:rFonts w:ascii="Times New Roman" w:eastAsia="SimSun" w:hAnsi="Times New Roman" w:cs="Times New Roman"/>
          <w:sz w:val="24"/>
          <w:szCs w:val="24"/>
        </w:rPr>
        <w:t xml:space="preserve">PESSURO, Graciano Pedro. </w:t>
      </w:r>
      <w:r>
        <w:rPr>
          <w:rFonts w:ascii="Times New Roman" w:eastAsia="SimSun" w:hAnsi="Times New Roman" w:cs="Times New Roman"/>
          <w:b/>
          <w:bCs/>
          <w:sz w:val="24"/>
          <w:szCs w:val="24"/>
        </w:rPr>
        <w:t xml:space="preserve">Política educacional em Moçambique diante das Tecnologias </w:t>
      </w:r>
    </w:p>
    <w:p w14:paraId="7577E059"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b/>
          <w:bCs/>
          <w:sz w:val="24"/>
          <w:szCs w:val="24"/>
        </w:rPr>
        <w:t>de Informação e Comunicação</w:t>
      </w:r>
      <w:r>
        <w:rPr>
          <w:rFonts w:ascii="Times New Roman" w:eastAsia="SimSun" w:hAnsi="Times New Roman" w:cs="Times New Roman"/>
          <w:sz w:val="24"/>
          <w:szCs w:val="24"/>
        </w:rPr>
        <w:t xml:space="preserve">. 2022 </w:t>
      </w:r>
    </w:p>
    <w:p w14:paraId="12E6B57D" w14:textId="77777777" w:rsidR="00C87C80" w:rsidRDefault="00C87C80" w:rsidP="003E533B">
      <w:pPr>
        <w:jc w:val="both"/>
        <w:rPr>
          <w:rFonts w:ascii="Times New Roman" w:eastAsia="SimSun" w:hAnsi="Times New Roman" w:cs="Times New Roman"/>
          <w:sz w:val="10"/>
          <w:szCs w:val="10"/>
        </w:rPr>
      </w:pPr>
    </w:p>
    <w:p w14:paraId="37CD3954"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PEIXOTO, Joana; ARAUJO, C. H. Santos. </w:t>
      </w:r>
      <w:r>
        <w:rPr>
          <w:rFonts w:ascii="Times New Roman" w:eastAsia="SimSun" w:hAnsi="Times New Roman" w:cs="Times New Roman"/>
          <w:b/>
          <w:bCs/>
          <w:sz w:val="24"/>
          <w:szCs w:val="24"/>
        </w:rPr>
        <w:t>Tecnologia e educação</w:t>
      </w:r>
      <w:r>
        <w:rPr>
          <w:rFonts w:ascii="Times New Roman" w:eastAsia="SimSun" w:hAnsi="Times New Roman" w:cs="Times New Roman"/>
          <w:sz w:val="24"/>
          <w:szCs w:val="24"/>
        </w:rPr>
        <w:t>: Algumas considerações sobre o discurso pedagógico contemporâneo. 2012</w:t>
      </w:r>
    </w:p>
    <w:p w14:paraId="124EDB55" w14:textId="4F246DAF"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PELAGES, R. Gonçalves; MASSINI, A. Medeiro de Carvalho; PONTES, D. Marques do Nascimento; MOREIRA, Diego. </w:t>
      </w:r>
      <w:r>
        <w:rPr>
          <w:rFonts w:ascii="Times New Roman" w:eastAsia="SimSun" w:hAnsi="Times New Roman" w:cs="Times New Roman"/>
          <w:b/>
          <w:bCs/>
          <w:sz w:val="24"/>
          <w:szCs w:val="24"/>
        </w:rPr>
        <w:t xml:space="preserve">Informática na educação: Redefinindo Currículos e Métodos de Ensino. </w:t>
      </w:r>
      <w:r>
        <w:rPr>
          <w:rFonts w:ascii="Times New Roman" w:eastAsia="SimSun" w:hAnsi="Times New Roman" w:cs="Times New Roman"/>
          <w:sz w:val="24"/>
          <w:szCs w:val="24"/>
        </w:rPr>
        <w:t xml:space="preserve">2023 </w:t>
      </w:r>
    </w:p>
    <w:p w14:paraId="7640FC94" w14:textId="77777777" w:rsidR="00C87C80" w:rsidRDefault="00C87C80" w:rsidP="003E533B">
      <w:pPr>
        <w:jc w:val="both"/>
        <w:rPr>
          <w:rFonts w:ascii="Times New Roman" w:eastAsia="SimSun" w:hAnsi="Times New Roman" w:cs="Times New Roman"/>
          <w:sz w:val="10"/>
          <w:szCs w:val="10"/>
        </w:rPr>
      </w:pPr>
    </w:p>
    <w:p w14:paraId="3626BC84"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SANTOS, Rita de Cássia Grecco. </w:t>
      </w:r>
      <w:r>
        <w:rPr>
          <w:rFonts w:ascii="Times New Roman" w:eastAsia="SimSun" w:hAnsi="Times New Roman" w:cs="Times New Roman"/>
          <w:b/>
          <w:bCs/>
          <w:sz w:val="24"/>
          <w:szCs w:val="24"/>
        </w:rPr>
        <w:t>Sociologia da Educação: debates clássicos na formação de professores</w:t>
      </w: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 xml:space="preserve">Rio Grande. </w:t>
      </w:r>
      <w:r>
        <w:rPr>
          <w:rFonts w:ascii="Times New Roman" w:eastAsia="SimSun" w:hAnsi="Times New Roman" w:cs="Times New Roman"/>
          <w:sz w:val="24"/>
          <w:szCs w:val="24"/>
        </w:rPr>
        <w:t>2013</w:t>
      </w:r>
    </w:p>
    <w:p w14:paraId="071AEC72" w14:textId="77777777" w:rsidR="00C87C80" w:rsidRDefault="00C87C80" w:rsidP="003E533B">
      <w:pPr>
        <w:jc w:val="both"/>
        <w:rPr>
          <w:rFonts w:ascii="Times New Roman" w:hAnsi="Times New Roman" w:cs="Times New Roman"/>
          <w:sz w:val="10"/>
          <w:szCs w:val="10"/>
        </w:rPr>
      </w:pPr>
      <w:r>
        <w:rPr>
          <w:rFonts w:ascii="Times New Roman" w:eastAsia="SimSun" w:hAnsi="Times New Roman" w:cs="Times New Roman"/>
          <w:sz w:val="24"/>
          <w:szCs w:val="24"/>
        </w:rPr>
        <w:t xml:space="preserve"> </w:t>
      </w:r>
    </w:p>
    <w:p w14:paraId="2EED98BF"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SELWYN, Neil. </w:t>
      </w:r>
      <w:r>
        <w:rPr>
          <w:rFonts w:ascii="Times New Roman" w:eastAsia="SimSun" w:hAnsi="Times New Roman" w:cs="Times New Roman"/>
          <w:b/>
          <w:bCs/>
          <w:sz w:val="24"/>
          <w:szCs w:val="24"/>
        </w:rPr>
        <w:t>A tecnologia educacional como ideologia</w:t>
      </w:r>
      <w:r>
        <w:rPr>
          <w:rFonts w:ascii="Times New Roman" w:eastAsia="SimSun" w:hAnsi="Times New Roman" w:cs="Times New Roman"/>
          <w:sz w:val="24"/>
          <w:szCs w:val="24"/>
        </w:rPr>
        <w:t xml:space="preserve">. 2014 </w:t>
      </w:r>
    </w:p>
    <w:p w14:paraId="6C09AE3A" w14:textId="77777777" w:rsidR="00C87C80" w:rsidRDefault="00C87C80" w:rsidP="003E533B">
      <w:pPr>
        <w:jc w:val="both"/>
        <w:rPr>
          <w:rFonts w:ascii="Times New Roman" w:eastAsia="SimSun" w:hAnsi="Times New Roman" w:cs="Times New Roman"/>
          <w:sz w:val="16"/>
          <w:szCs w:val="16"/>
        </w:rPr>
      </w:pPr>
    </w:p>
    <w:p w14:paraId="4A6DD4EA"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SILVA, R. Santos; ROSA, W. Aparecida. </w:t>
      </w:r>
      <w:r>
        <w:rPr>
          <w:rFonts w:ascii="Times New Roman" w:eastAsia="SimSun" w:hAnsi="Times New Roman" w:cs="Times New Roman"/>
          <w:b/>
          <w:bCs/>
          <w:sz w:val="24"/>
          <w:szCs w:val="24"/>
        </w:rPr>
        <w:t>A importância da obra didática magna de comênio para formação do professor</w:t>
      </w:r>
      <w:r>
        <w:rPr>
          <w:rFonts w:ascii="Times New Roman" w:eastAsia="SimSun" w:hAnsi="Times New Roman" w:cs="Times New Roman"/>
          <w:sz w:val="24"/>
          <w:szCs w:val="24"/>
        </w:rPr>
        <w:t>. 2017</w:t>
      </w:r>
    </w:p>
    <w:p w14:paraId="728DF9EF" w14:textId="77777777" w:rsidR="00C87C80" w:rsidRDefault="00C87C80" w:rsidP="003E533B">
      <w:pPr>
        <w:jc w:val="both"/>
        <w:rPr>
          <w:rFonts w:ascii="Times New Roman" w:eastAsia="SimSun" w:hAnsi="Times New Roman" w:cs="Times New Roman"/>
          <w:sz w:val="10"/>
          <w:szCs w:val="10"/>
        </w:rPr>
      </w:pPr>
    </w:p>
    <w:p w14:paraId="4BBA395D" w14:textId="77777777"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TAVARES, M. T. Goudard</w:t>
      </w:r>
      <w:r>
        <w:rPr>
          <w:rFonts w:ascii="Times New Roman" w:eastAsia="Segoe Print" w:hAnsi="Times New Roman" w:cs="Times New Roman"/>
          <w:b/>
          <w:bCs/>
          <w:sz w:val="22"/>
          <w:szCs w:val="22"/>
        </w:rPr>
        <w:t xml:space="preserve">. </w:t>
      </w:r>
      <w:r>
        <w:rPr>
          <w:rFonts w:ascii="Times New Roman" w:eastAsia="SimSun" w:hAnsi="Times New Roman" w:cs="Times New Roman"/>
          <w:b/>
          <w:bCs/>
          <w:sz w:val="24"/>
          <w:szCs w:val="24"/>
        </w:rPr>
        <w:t xml:space="preserve">Educação Popular e Movimentos Sociais contemporâneos: algumas notas para reflexão. </w:t>
      </w:r>
      <w:r>
        <w:rPr>
          <w:rFonts w:ascii="Times New Roman" w:eastAsia="SimSun" w:hAnsi="Times New Roman" w:cs="Times New Roman"/>
          <w:sz w:val="24"/>
          <w:szCs w:val="24"/>
        </w:rPr>
        <w:t>2015</w:t>
      </w:r>
    </w:p>
    <w:p w14:paraId="668B8B96" w14:textId="4175752E" w:rsidR="00C87C80" w:rsidRDefault="00C87C80" w:rsidP="003E533B">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UNESCO. </w:t>
      </w:r>
      <w:r>
        <w:rPr>
          <w:rFonts w:ascii="Times New Roman" w:eastAsia="SimSun" w:hAnsi="Times New Roman" w:cs="Times New Roman"/>
          <w:b/>
          <w:bCs/>
          <w:sz w:val="24"/>
          <w:szCs w:val="24"/>
        </w:rPr>
        <w:t xml:space="preserve">Guia para a IA generativa na educação e na pesquisa. </w:t>
      </w:r>
      <w:r w:rsidR="003E533B">
        <w:rPr>
          <w:rFonts w:ascii="Times New Roman" w:eastAsia="SimSun" w:hAnsi="Times New Roman" w:cs="Times New Roman"/>
          <w:sz w:val="24"/>
          <w:szCs w:val="24"/>
        </w:rPr>
        <w:t>2024.</w:t>
      </w:r>
    </w:p>
    <w:p w14:paraId="53C4D4A1" w14:textId="77777777" w:rsidR="001230BB" w:rsidRPr="00C87C80" w:rsidRDefault="001230BB" w:rsidP="00C87C80"/>
    <w:sectPr w:rsidR="001230BB" w:rsidRPr="00C87C80" w:rsidSect="00E361F4">
      <w:headerReference w:type="even" r:id="rId10"/>
      <w:headerReference w:type="default" r:id="rId11"/>
      <w:footerReference w:type="even" r:id="rId12"/>
      <w:footerReference w:type="default" r:id="rId13"/>
      <w:headerReference w:type="first" r:id="rId14"/>
      <w:footerReference w:type="first" r:id="rId15"/>
      <w:pgSz w:w="11906" w:h="16838"/>
      <w:pgMar w:top="567" w:right="851" w:bottom="567" w:left="1134" w:header="227" w:footer="1191"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2B29B" w14:textId="77777777" w:rsidR="009032F2" w:rsidRDefault="009032F2" w:rsidP="00071208">
      <w:r>
        <w:separator/>
      </w:r>
    </w:p>
  </w:endnote>
  <w:endnote w:type="continuationSeparator" w:id="0">
    <w:p w14:paraId="14C7CFE4" w14:textId="77777777" w:rsidR="009032F2" w:rsidRDefault="009032F2" w:rsidP="0007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charset w:val="00"/>
    <w:family w:val="auto"/>
    <w:pitch w:val="default"/>
  </w:font>
  <w:font w:name="CIDFont">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default"/>
  </w:font>
  <w:font w:name="TimesNewRomanPS-BoldMT">
    <w:altName w:val="Segoe Print"/>
    <w:charset w:val="00"/>
    <w:family w:val="auto"/>
    <w:pitch w:val="default"/>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8A6B3" w14:textId="77777777" w:rsidR="00E361F4" w:rsidRDefault="00E361F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8A021" w14:textId="77777777" w:rsidR="00807C66" w:rsidRDefault="00807C66" w:rsidP="008422D6">
    <w:pPr>
      <w:pStyle w:val="Rodap"/>
      <w:tabs>
        <w:tab w:val="clear" w:pos="4252"/>
        <w:tab w:val="clear" w:pos="8504"/>
        <w:tab w:val="left" w:pos="6195"/>
      </w:tabs>
      <w:rPr>
        <w:u w:val="single"/>
      </w:rPr>
    </w:pPr>
    <w:bookmarkStart w:id="7" w:name="_GoBack"/>
    <w:bookmarkEnd w:id="7"/>
  </w:p>
  <w:p w14:paraId="68737CBE" w14:textId="24E33AEB" w:rsidR="00071208" w:rsidRPr="008422D6" w:rsidRDefault="00807C66" w:rsidP="008422D6">
    <w:pPr>
      <w:pStyle w:val="Rodap"/>
      <w:tabs>
        <w:tab w:val="clear" w:pos="4252"/>
        <w:tab w:val="clear" w:pos="8504"/>
        <w:tab w:val="left" w:pos="6195"/>
      </w:tabs>
      <w:rPr>
        <w:u w:val="single"/>
      </w:rPr>
    </w:pPr>
    <w:r w:rsidRPr="00807C66">
      <w:rPr>
        <w:noProof/>
        <w:color w:val="808080" w:themeColor="background1" w:themeShade="80"/>
        <w:u w:val="single"/>
        <w:lang w:eastAsia="pt-BR"/>
      </w:rPr>
      <mc:AlternateContent>
        <mc:Choice Requires="wpg">
          <w:drawing>
            <wp:anchor distT="0" distB="0" distL="0" distR="0" simplePos="0" relativeHeight="251660288" behindDoc="0" locked="0" layoutInCell="1" allowOverlap="1" wp14:anchorId="3C581F8A" wp14:editId="1BBEC6A1">
              <wp:simplePos x="0" y="0"/>
              <wp:positionH relativeFrom="margin">
                <wp:align>right</wp:align>
              </wp:positionH>
              <mc:AlternateContent>
                <mc:Choice Requires="wp14">
                  <wp:positionV relativeFrom="bottomMargin">
                    <wp14:pctPosVOffset>20000</wp14:pctPosVOffset>
                  </wp:positionV>
                </mc:Choice>
                <mc:Fallback>
                  <wp:positionV relativeFrom="page">
                    <wp:posOffset>10403840</wp:posOffset>
                  </wp:positionV>
                </mc:Fallback>
              </mc:AlternateContent>
              <wp:extent cx="5943600" cy="320040"/>
              <wp:effectExtent l="0" t="0" r="0" b="3810"/>
              <wp:wrapSquare wrapText="bothSides"/>
              <wp:docPr id="37" name="Grupo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tângulo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aixa de Texto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olor w:val="7F7F7F" w:themeColor="text1" w:themeTint="80"/>
                              </w:rPr>
                              <w:alias w:val="Data"/>
                              <w:tag w:val=""/>
                              <w:id w:val="-1063724354"/>
                              <w:dataBinding w:prefixMappings="xmlns:ns0='http://schemas.microsoft.com/office/2006/coverPageProps' " w:xpath="/ns0:CoverPageProperties[1]/ns0:PublishDate[1]" w:storeItemID="{55AF091B-3C7A-41E3-B477-F2FDAA23CFDA}"/>
                              <w:date>
                                <w:dateFormat w:val="d 'de' MMMM 'de' yyyy"/>
                                <w:lid w:val="pt-BR"/>
                                <w:storeMappedDataAs w:val="dateTime"/>
                                <w:calendar w:val="gregorian"/>
                              </w:date>
                            </w:sdtPr>
                            <w:sdtEndPr/>
                            <w:sdtContent>
                              <w:p w14:paraId="2F1452CB" w14:textId="4B1DEAE0" w:rsidR="00807C66" w:rsidRPr="00484B02" w:rsidRDefault="00807C66">
                                <w:pPr>
                                  <w:jc w:val="right"/>
                                  <w:rPr>
                                    <w:rFonts w:ascii="Times New Roman" w:hAnsi="Times New Roman" w:cs="Times New Roman"/>
                                    <w:color w:val="7F7F7F" w:themeColor="text1" w:themeTint="80"/>
                                  </w:rPr>
                                </w:pPr>
                                <w:r w:rsidRPr="00484B02">
                                  <w:rPr>
                                    <w:rFonts w:ascii="Times New Roman" w:hAnsi="Times New Roman" w:cs="Times New Roman"/>
                                    <w:color w:val="7F7F7F" w:themeColor="text1" w:themeTint="80"/>
                                  </w:rPr>
                                  <w:t>Horizontes Sociológicos Afro-Lusófonos</w:t>
                                </w:r>
                              </w:p>
                            </w:sdtContent>
                          </w:sdt>
                          <w:p w14:paraId="39B8FA28" w14:textId="77777777" w:rsidR="00807C66" w:rsidRDefault="00807C66">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3C581F8A" id="Grupo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">
              <v:rect id="Retângulo 38" o:spid="_x0000_s1027"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6xMEA&#10;AADbAAAADwAAAGRycy9kb3ducmV2LnhtbERPzYrCMBC+C/sOYRb2IjbVtSLVKOoqiJddrQ8wNGNb&#10;bCalyWp9e3MQPH58//NlZ2pxo9ZVlhUMoxgEcW51xYWCc7YbTEE4j6yxtkwKHuRgufjozTHV9s5H&#10;up18IUIIuxQVlN43qZQuL8mgi2xDHLiLbQ36ANtC6hbvIdzUchTHE2mw4tBQYkObkvLr6d8oyH7/&#10;JttdlfCouf6sxnmy7m8Pa6W+PrvVDISnzr/FL/deK/gOY8OX8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LOsTBAAAA2wAAAA8AAAAAAAAAAAAAAAAAmAIAAGRycy9kb3du&#10;cmV2LnhtbFBLBQYAAAAABAAEAPUAAACGAwAAAAA=&#10;" fillcolor="black [3213]" stroked="f" strokeweight="1pt"/>
              <v:shapetype id="_x0000_t202" coordsize="21600,21600" o:spt="202" path="m,l,21600r21600,l21600,xe">
                <v:stroke joinstyle="miter"/>
                <v:path gradientshapeok="t" o:connecttype="rect"/>
              </v:shapetype>
              <v:shape id="Caixa de Texto 39" o:spid="_x0000_s1028"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rFonts w:ascii="Times New Roman" w:hAnsi="Times New Roman" w:cs="Times New Roman"/>
                          <w:color w:val="7F7F7F" w:themeColor="text1" w:themeTint="80"/>
                        </w:rPr>
                        <w:alias w:val="Data"/>
                        <w:tag w:val=""/>
                        <w:id w:val="-1063724354"/>
                        <w:dataBinding w:prefixMappings="xmlns:ns0='http://schemas.microsoft.com/office/2006/coverPageProps' " w:xpath="/ns0:CoverPageProperties[1]/ns0:PublishDate[1]" w:storeItemID="{55AF091B-3C7A-41E3-B477-F2FDAA23CFDA}"/>
                        <w:date>
                          <w:dateFormat w:val="d 'de' MMMM 'de' yyyy"/>
                          <w:lid w:val="pt-BR"/>
                          <w:storeMappedDataAs w:val="dateTime"/>
                          <w:calendar w:val="gregorian"/>
                        </w:date>
                      </w:sdtPr>
                      <w:sdtContent>
                        <w:p w14:paraId="2F1452CB" w14:textId="4B1DEAE0" w:rsidR="00807C66" w:rsidRPr="00484B02" w:rsidRDefault="00807C66">
                          <w:pPr>
                            <w:jc w:val="right"/>
                            <w:rPr>
                              <w:rFonts w:ascii="Times New Roman" w:hAnsi="Times New Roman" w:cs="Times New Roman"/>
                              <w:color w:val="7F7F7F" w:themeColor="text1" w:themeTint="80"/>
                            </w:rPr>
                          </w:pPr>
                          <w:r w:rsidRPr="00484B02">
                            <w:rPr>
                              <w:rFonts w:ascii="Times New Roman" w:hAnsi="Times New Roman" w:cs="Times New Roman"/>
                              <w:color w:val="7F7F7F" w:themeColor="text1" w:themeTint="80"/>
                            </w:rPr>
                            <w:t>Horizontes Sociológicos Afro-Lusófonos</w:t>
                          </w:r>
                        </w:p>
                      </w:sdtContent>
                    </w:sdt>
                    <w:p w14:paraId="39B8FA28" w14:textId="77777777" w:rsidR="00807C66" w:rsidRDefault="00807C66">
                      <w:pPr>
                        <w:jc w:val="right"/>
                        <w:rPr>
                          <w:color w:val="808080" w:themeColor="background1" w:themeShade="80"/>
                        </w:rPr>
                      </w:pPr>
                    </w:p>
                  </w:txbxContent>
                </v:textbox>
              </v:shape>
              <w10:wrap type="square" anchorx="margin" anchory="margin"/>
            </v:group>
          </w:pict>
        </mc:Fallback>
      </mc:AlternateContent>
    </w:r>
    <w:r w:rsidRPr="00807C66">
      <w:rPr>
        <w:noProof/>
        <w:u w:val="single"/>
        <w:lang w:eastAsia="pt-BR"/>
      </w:rPr>
      <mc:AlternateContent>
        <mc:Choice Requires="wps">
          <w:drawing>
            <wp:anchor distT="0" distB="0" distL="0" distR="0" simplePos="0" relativeHeight="251659264" behindDoc="0" locked="0" layoutInCell="1" allowOverlap="1" wp14:anchorId="00D6CBA2" wp14:editId="4B4EC1B8">
              <wp:simplePos x="0" y="0"/>
              <wp:positionH relativeFrom="rightMargin">
                <wp:align>left</wp:align>
              </wp:positionH>
              <mc:AlternateContent>
                <mc:Choice Requires="wp14">
                  <wp:positionV relativeFrom="bottomMargin">
                    <wp14:pctPosVOffset>20000</wp14:pctPosVOffset>
                  </wp:positionV>
                </mc:Choice>
                <mc:Fallback>
                  <wp:positionV relativeFrom="page">
                    <wp:posOffset>10403840</wp:posOffset>
                  </wp:positionV>
                </mc:Fallback>
              </mc:AlternateContent>
              <wp:extent cx="457200" cy="320040"/>
              <wp:effectExtent l="0" t="0" r="0" b="3810"/>
              <wp:wrapSquare wrapText="bothSides"/>
              <wp:docPr id="40" name="Retângulo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61A428" w14:textId="77777777" w:rsidR="00807C66" w:rsidRDefault="00807C6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361F4">
                            <w:rPr>
                              <w:noProof/>
                              <w:color w:val="FFFFFF" w:themeColor="background1"/>
                              <w:sz w:val="28"/>
                              <w:szCs w:val="28"/>
                            </w:rPr>
                            <w:t>21</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6CBA2" id="Retângulo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" fillcolor="black [3213]" stroked="f" strokeweight="3pt">
              <v:textbox>
                <w:txbxContent>
                  <w:p w14:paraId="0861A428" w14:textId="77777777" w:rsidR="00807C66" w:rsidRDefault="00807C6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361F4">
                      <w:rPr>
                        <w:noProof/>
                        <w:color w:val="FFFFFF" w:themeColor="background1"/>
                        <w:sz w:val="28"/>
                        <w:szCs w:val="28"/>
                      </w:rPr>
                      <w:t>21</w:t>
                    </w:r>
                    <w:r>
                      <w:rPr>
                        <w:color w:val="FFFFFF" w:themeColor="background1"/>
                        <w:sz w:val="28"/>
                        <w:szCs w:val="28"/>
                      </w:rPr>
                      <w:fldChar w:fldCharType="end"/>
                    </w:r>
                  </w:p>
                </w:txbxContent>
              </v:textbox>
              <w10:wrap type="square" anchorx="margin" anchory="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B9EFC" w14:textId="77777777" w:rsidR="00E361F4" w:rsidRDefault="00E361F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CCDA6" w14:textId="77777777" w:rsidR="009032F2" w:rsidRDefault="009032F2" w:rsidP="00071208">
      <w:r>
        <w:separator/>
      </w:r>
    </w:p>
  </w:footnote>
  <w:footnote w:type="continuationSeparator" w:id="0">
    <w:p w14:paraId="22CDC1CE" w14:textId="77777777" w:rsidR="009032F2" w:rsidRDefault="009032F2" w:rsidP="00071208">
      <w:r>
        <w:continuationSeparator/>
      </w:r>
    </w:p>
  </w:footnote>
  <w:footnote w:id="1">
    <w:p w14:paraId="1276F341" w14:textId="77777777" w:rsidR="00C87C80" w:rsidRDefault="00C87C80" w:rsidP="00C87C80">
      <w:pPr>
        <w:pStyle w:val="Textodenotaderodap"/>
      </w:pPr>
      <w:r>
        <w:rPr>
          <w:rStyle w:val="Refdenotaderodap"/>
        </w:rPr>
        <w:footnoteRef/>
      </w:r>
      <w:r>
        <w:t xml:space="preserve"> Bacharel em Humanidade e </w:t>
      </w:r>
      <w:bookmarkStart w:id="0" w:name="OLE_LINK7"/>
      <w:r>
        <w:t>Licenciatura em Sociologia pela Universidade de Integração Internacional da Lusofonia Afro- Brasileira- UNILAB, Redenção-CE,</w:t>
      </w:r>
      <w:r>
        <w:rPr>
          <w:u w:val="single"/>
        </w:rPr>
        <w:t xml:space="preserve"> </w:t>
      </w:r>
      <w:bookmarkEnd w:id="0"/>
      <w:r>
        <w:rPr>
          <w:u w:val="single"/>
        </w:rPr>
        <w:fldChar w:fldCharType="begin"/>
      </w:r>
      <w:r>
        <w:rPr>
          <w:u w:val="single"/>
        </w:rPr>
        <w:instrText xml:space="preserve"> HYPERLINK "mailto:BRASIL%20.Email.geraldodalena@gmail.com" </w:instrText>
      </w:r>
      <w:r>
        <w:rPr>
          <w:u w:val="single"/>
        </w:rPr>
        <w:fldChar w:fldCharType="separate"/>
      </w:r>
      <w:r>
        <w:rPr>
          <w:rStyle w:val="Hyperlink"/>
          <w:color w:val="auto"/>
          <w:u w:val="none"/>
        </w:rPr>
        <w:t>BRASIL</w:t>
      </w:r>
      <w:r>
        <w:rPr>
          <w:rStyle w:val="Hyperlink"/>
        </w:rPr>
        <w:t xml:space="preserve"> .Email.geraldodalena@gmail.com</w:t>
      </w:r>
      <w:r>
        <w:rPr>
          <w:u w:val="single"/>
        </w:rPr>
        <w:fldChar w:fldCharType="end"/>
      </w:r>
      <w:r>
        <w:t xml:space="preserve"> </w:t>
      </w:r>
    </w:p>
  </w:footnote>
  <w:footnote w:id="2">
    <w:p w14:paraId="785EBE74" w14:textId="77777777" w:rsidR="00C87C80" w:rsidRDefault="00C87C80" w:rsidP="00C87C80">
      <w:pPr>
        <w:pStyle w:val="Textodenotaderodap"/>
      </w:pPr>
      <w:r>
        <w:rPr>
          <w:rStyle w:val="Refdenotaderodap"/>
        </w:rPr>
        <w:footnoteRef/>
      </w:r>
      <w:r>
        <w:t xml:space="preserve"> Licenciatura em Física pela Universidade de Integração Internacional da Lusofonia Afro- Brasileira- UNILAB, Redenção-CE, BRASIL. </w:t>
      </w:r>
      <w:hyperlink r:id="rId1" w:history="1">
        <w:r>
          <w:rPr>
            <w:rStyle w:val="Hyperlink"/>
          </w:rPr>
          <w:t>Email.benevelitaisabel@gmail.com</w:t>
        </w:r>
      </w:hyperlink>
      <w:r>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67051" w14:textId="77777777" w:rsidR="00E361F4" w:rsidRDefault="00E361F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23FE6" w14:textId="77777777" w:rsidR="00E361F4" w:rsidRDefault="00E361F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C372E" w14:textId="77777777" w:rsidR="00E361F4" w:rsidRDefault="00E361F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BB"/>
    <w:rsid w:val="00071208"/>
    <w:rsid w:val="00080675"/>
    <w:rsid w:val="00080680"/>
    <w:rsid w:val="00113215"/>
    <w:rsid w:val="001230BB"/>
    <w:rsid w:val="00182CC8"/>
    <w:rsid w:val="001E0ABF"/>
    <w:rsid w:val="002043A1"/>
    <w:rsid w:val="00280433"/>
    <w:rsid w:val="00280D70"/>
    <w:rsid w:val="002869A8"/>
    <w:rsid w:val="002F34B3"/>
    <w:rsid w:val="00306EA1"/>
    <w:rsid w:val="00363A07"/>
    <w:rsid w:val="00391034"/>
    <w:rsid w:val="003B516C"/>
    <w:rsid w:val="003E533B"/>
    <w:rsid w:val="004222B5"/>
    <w:rsid w:val="00476CD3"/>
    <w:rsid w:val="00484B02"/>
    <w:rsid w:val="004D2765"/>
    <w:rsid w:val="004E4D7F"/>
    <w:rsid w:val="00513423"/>
    <w:rsid w:val="005B032B"/>
    <w:rsid w:val="005B51C5"/>
    <w:rsid w:val="005B56D5"/>
    <w:rsid w:val="006E4491"/>
    <w:rsid w:val="00716CD5"/>
    <w:rsid w:val="0076550A"/>
    <w:rsid w:val="00771E46"/>
    <w:rsid w:val="007967F6"/>
    <w:rsid w:val="00807C66"/>
    <w:rsid w:val="008211EA"/>
    <w:rsid w:val="008422D6"/>
    <w:rsid w:val="00853C48"/>
    <w:rsid w:val="00872BD1"/>
    <w:rsid w:val="008A29B7"/>
    <w:rsid w:val="008A3CB0"/>
    <w:rsid w:val="008D6C68"/>
    <w:rsid w:val="009032F2"/>
    <w:rsid w:val="00915435"/>
    <w:rsid w:val="0093745C"/>
    <w:rsid w:val="00963329"/>
    <w:rsid w:val="00965178"/>
    <w:rsid w:val="00982223"/>
    <w:rsid w:val="009D07F3"/>
    <w:rsid w:val="009E5ABD"/>
    <w:rsid w:val="00AD645D"/>
    <w:rsid w:val="00B7086D"/>
    <w:rsid w:val="00BA1FAA"/>
    <w:rsid w:val="00BC0D79"/>
    <w:rsid w:val="00C43EA1"/>
    <w:rsid w:val="00C52363"/>
    <w:rsid w:val="00C87C80"/>
    <w:rsid w:val="00C95456"/>
    <w:rsid w:val="00C959D7"/>
    <w:rsid w:val="00CB2F65"/>
    <w:rsid w:val="00CD5AFA"/>
    <w:rsid w:val="00D0271C"/>
    <w:rsid w:val="00D21201"/>
    <w:rsid w:val="00E27A9F"/>
    <w:rsid w:val="00E361F4"/>
    <w:rsid w:val="00EF7F50"/>
    <w:rsid w:val="00F04B0E"/>
    <w:rsid w:val="00F13FE6"/>
    <w:rsid w:val="00F32D44"/>
    <w:rsid w:val="00F37F22"/>
    <w:rsid w:val="00F62550"/>
    <w:rsid w:val="00F72CE1"/>
    <w:rsid w:val="00F84D10"/>
    <w:rsid w:val="00FD3AF2"/>
    <w:rsid w:val="00FD66F3"/>
    <w:rsid w:val="00FF68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852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C80"/>
    <w:pPr>
      <w:spacing w:after="0" w:line="240" w:lineRule="auto"/>
    </w:pPr>
    <w:rPr>
      <w:rFonts w:eastAsiaTheme="minorEastAsia"/>
      <w:sz w:val="20"/>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230BB"/>
    <w:rPr>
      <w:color w:val="0563C1" w:themeColor="hyperlink"/>
      <w:u w:val="single"/>
    </w:rPr>
  </w:style>
  <w:style w:type="paragraph" w:styleId="Corpodetexto">
    <w:name w:val="Body Text"/>
    <w:basedOn w:val="Normal"/>
    <w:link w:val="CorpodetextoChar"/>
    <w:rsid w:val="001230BB"/>
    <w:pPr>
      <w:suppressAutoHyphens/>
      <w:spacing w:after="140" w:line="276" w:lineRule="auto"/>
    </w:pPr>
    <w:rPr>
      <w:rFonts w:eastAsiaTheme="minorHAnsi"/>
      <w:sz w:val="22"/>
      <w:szCs w:val="22"/>
      <w:lang w:eastAsia="en-US"/>
    </w:rPr>
  </w:style>
  <w:style w:type="character" w:customStyle="1" w:styleId="CorpodetextoChar">
    <w:name w:val="Corpo de texto Char"/>
    <w:basedOn w:val="Fontepargpadro"/>
    <w:link w:val="Corpodetexto"/>
    <w:rsid w:val="001230BB"/>
  </w:style>
  <w:style w:type="paragraph" w:styleId="PargrafodaLista">
    <w:name w:val="List Paragraph"/>
    <w:basedOn w:val="Normal"/>
    <w:uiPriority w:val="34"/>
    <w:qFormat/>
    <w:rsid w:val="00182CC8"/>
    <w:pPr>
      <w:spacing w:after="160" w:line="259" w:lineRule="auto"/>
      <w:ind w:left="720"/>
      <w:contextualSpacing/>
    </w:pPr>
    <w:rPr>
      <w:rFonts w:eastAsiaTheme="minorHAnsi"/>
      <w:sz w:val="22"/>
      <w:szCs w:val="22"/>
      <w:lang w:eastAsia="en-US"/>
    </w:rPr>
  </w:style>
  <w:style w:type="paragraph" w:styleId="Cabealho">
    <w:name w:val="header"/>
    <w:basedOn w:val="Normal"/>
    <w:link w:val="CabealhoChar"/>
    <w:uiPriority w:val="99"/>
    <w:unhideWhenUsed/>
    <w:rsid w:val="00071208"/>
    <w:pPr>
      <w:tabs>
        <w:tab w:val="center" w:pos="4252"/>
        <w:tab w:val="right" w:pos="8504"/>
      </w:tabs>
    </w:pPr>
    <w:rPr>
      <w:rFonts w:eastAsiaTheme="minorHAnsi"/>
      <w:sz w:val="22"/>
      <w:szCs w:val="22"/>
      <w:lang w:eastAsia="en-US"/>
    </w:rPr>
  </w:style>
  <w:style w:type="character" w:customStyle="1" w:styleId="CabealhoChar">
    <w:name w:val="Cabeçalho Char"/>
    <w:basedOn w:val="Fontepargpadro"/>
    <w:link w:val="Cabealho"/>
    <w:uiPriority w:val="99"/>
    <w:rsid w:val="00071208"/>
  </w:style>
  <w:style w:type="paragraph" w:styleId="Rodap">
    <w:name w:val="footer"/>
    <w:basedOn w:val="Normal"/>
    <w:link w:val="RodapChar"/>
    <w:uiPriority w:val="99"/>
    <w:unhideWhenUsed/>
    <w:rsid w:val="00071208"/>
    <w:pPr>
      <w:tabs>
        <w:tab w:val="center" w:pos="4252"/>
        <w:tab w:val="right" w:pos="8504"/>
      </w:tabs>
    </w:pPr>
    <w:rPr>
      <w:rFonts w:eastAsiaTheme="minorHAnsi"/>
      <w:sz w:val="22"/>
      <w:szCs w:val="22"/>
      <w:lang w:eastAsia="en-US"/>
    </w:rPr>
  </w:style>
  <w:style w:type="character" w:customStyle="1" w:styleId="RodapChar">
    <w:name w:val="Rodapé Char"/>
    <w:basedOn w:val="Fontepargpadro"/>
    <w:link w:val="Rodap"/>
    <w:uiPriority w:val="99"/>
    <w:rsid w:val="00071208"/>
  </w:style>
  <w:style w:type="paragraph" w:styleId="Textodenotaderodap">
    <w:name w:val="footnote text"/>
    <w:link w:val="TextodenotaderodapChar"/>
    <w:uiPriority w:val="99"/>
    <w:semiHidden/>
    <w:unhideWhenUsed/>
    <w:qFormat/>
    <w:rsid w:val="00C87C80"/>
    <w:pPr>
      <w:spacing w:after="0" w:line="240" w:lineRule="auto"/>
    </w:pPr>
    <w:rPr>
      <w:rFonts w:ascii="Times New Roman" w:eastAsia="SimSun" w:hAnsi="Times New Roman" w:cs="Times New Roman"/>
      <w:sz w:val="20"/>
      <w:szCs w:val="20"/>
      <w:lang w:eastAsia="zh-CN" w:bidi="hi-IN"/>
    </w:rPr>
  </w:style>
  <w:style w:type="character" w:customStyle="1" w:styleId="TextodenotaderodapChar">
    <w:name w:val="Texto de nota de rodapé Char"/>
    <w:basedOn w:val="Fontepargpadro"/>
    <w:link w:val="Textodenotaderodap"/>
    <w:uiPriority w:val="99"/>
    <w:semiHidden/>
    <w:rsid w:val="00C87C80"/>
    <w:rPr>
      <w:rFonts w:ascii="Times New Roman" w:eastAsia="SimSun" w:hAnsi="Times New Roman" w:cs="Times New Roman"/>
      <w:sz w:val="20"/>
      <w:szCs w:val="20"/>
      <w:lang w:eastAsia="zh-CN" w:bidi="hi-IN"/>
    </w:rPr>
  </w:style>
  <w:style w:type="character" w:styleId="Refdenotaderodap">
    <w:name w:val="footnote reference"/>
    <w:semiHidden/>
    <w:unhideWhenUsed/>
    <w:rsid w:val="00C87C80"/>
    <w:rPr>
      <w:vertAlign w:val="superscript"/>
    </w:rPr>
  </w:style>
  <w:style w:type="character" w:customStyle="1" w:styleId="fontstyle01">
    <w:name w:val="fontstyle01"/>
    <w:qFormat/>
    <w:rsid w:val="00C87C80"/>
    <w:rPr>
      <w:rFonts w:ascii="Times-Roman" w:eastAsia="Times-Roman" w:hAnsi="Times-Roman" w:cs="Times-Roman" w:hint="default"/>
      <w:color w:val="000000"/>
      <w:sz w:val="22"/>
      <w:szCs w:val="22"/>
    </w:rPr>
  </w:style>
  <w:style w:type="table" w:styleId="Tabelacomgrade">
    <w:name w:val="Table Grid"/>
    <w:basedOn w:val="Tabelanormal"/>
    <w:uiPriority w:val="59"/>
    <w:rsid w:val="00C87C80"/>
    <w:pPr>
      <w:spacing w:after="0" w:line="240" w:lineRule="auto"/>
    </w:pPr>
    <w:rPr>
      <w:rFonts w:ascii="Times New Roman" w:eastAsia="SimSun" w:hAnsi="Times New Roman" w:cs="Times New Roman"/>
      <w:sz w:val="20"/>
      <w:szCs w:val="20"/>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34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ft.com.br/o-impacto-da-tecnologia-na-socieda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ba.ac.mz/index.php/alba/issue/view/8."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Email.benevelitaisabel@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Horizontes Sociológicos Afro-Lusófonos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A1F16A-75D1-4797-9CAF-D396C52BB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6940</Words>
  <Characters>37477</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2026-05-26T06:23:00Z</dcterms:created>
  <dcterms:modified xsi:type="dcterms:W3CDTF">2026-06-04T14:39:00Z</dcterms:modified>
</cp:coreProperties>
</file>